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40" w:lineRule="exact"/>
        <w:jc w:val="center"/>
        <w:textAlignment w:val="auto"/>
        <w:outlineLvl w:val="9"/>
        <w:rPr>
          <w:rFonts w:hint="default" w:ascii="Times New Roman" w:hAnsi="Times New Roman" w:eastAsia="方正小标宋简体" w:cs="Times New Roman"/>
          <w:color w:val="auto"/>
          <w:sz w:val="72"/>
          <w:szCs w:val="72"/>
          <w:highlight w:val="none"/>
        </w:rPr>
      </w:pPr>
      <w:bookmarkStart w:id="0" w:name="_Toc15377425"/>
      <w:bookmarkStart w:id="1" w:name="_Toc15378441"/>
      <w:bookmarkStart w:id="2" w:name="_Toc15377193"/>
      <w:bookmarkStart w:id="3" w:name="_Toc15396475"/>
      <w:bookmarkStart w:id="4" w:name="_Toc15396597"/>
      <w:bookmarkStart w:id="5" w:name="_Toc15306267"/>
    </w:p>
    <w:p>
      <w:pPr>
        <w:pageBreakBefore w:val="0"/>
        <w:kinsoku/>
        <w:wordWrap/>
        <w:overflowPunct/>
        <w:topLinePunct w:val="0"/>
        <w:bidi w:val="0"/>
        <w:spacing w:line="540" w:lineRule="exact"/>
        <w:jc w:val="center"/>
        <w:textAlignment w:val="auto"/>
        <w:outlineLvl w:val="9"/>
        <w:rPr>
          <w:rFonts w:hint="default" w:ascii="Times New Roman" w:hAnsi="Times New Roman" w:eastAsia="方正小标宋简体" w:cs="Times New Roman"/>
          <w:color w:val="auto"/>
          <w:sz w:val="72"/>
          <w:szCs w:val="72"/>
          <w:highlight w:val="none"/>
        </w:rPr>
      </w:pPr>
    </w:p>
    <w:p>
      <w:pPr>
        <w:pStyle w:val="2"/>
        <w:pageBreakBefore w:val="0"/>
        <w:kinsoku/>
        <w:wordWrap/>
        <w:overflowPunct/>
        <w:topLinePunct w:val="0"/>
        <w:bidi w:val="0"/>
        <w:spacing w:line="540" w:lineRule="exact"/>
        <w:textAlignment w:val="auto"/>
        <w:rPr>
          <w:rFonts w:hint="default" w:ascii="Times New Roman" w:hAnsi="Times New Roman" w:eastAsia="方正小标宋简体" w:cs="Times New Roman"/>
          <w:color w:val="auto"/>
          <w:sz w:val="72"/>
          <w:szCs w:val="72"/>
          <w:highlight w:val="none"/>
        </w:rPr>
      </w:pPr>
    </w:p>
    <w:p>
      <w:pPr>
        <w:pStyle w:val="2"/>
        <w:pageBreakBefore w:val="0"/>
        <w:kinsoku/>
        <w:wordWrap/>
        <w:overflowPunct/>
        <w:topLinePunct w:val="0"/>
        <w:bidi w:val="0"/>
        <w:spacing w:line="540" w:lineRule="exact"/>
        <w:textAlignment w:val="auto"/>
        <w:rPr>
          <w:rFonts w:hint="default" w:ascii="Times New Roman" w:hAnsi="Times New Roman" w:eastAsia="方正小标宋简体" w:cs="Times New Roman"/>
          <w:color w:val="auto"/>
          <w:sz w:val="72"/>
          <w:szCs w:val="72"/>
          <w:highlight w:val="none"/>
        </w:rPr>
      </w:pPr>
    </w:p>
    <w:p>
      <w:pPr>
        <w:pStyle w:val="2"/>
        <w:pageBreakBefore w:val="0"/>
        <w:kinsoku/>
        <w:wordWrap/>
        <w:overflowPunct/>
        <w:topLinePunct w:val="0"/>
        <w:bidi w:val="0"/>
        <w:spacing w:line="540" w:lineRule="exact"/>
        <w:textAlignment w:val="auto"/>
        <w:rPr>
          <w:rFonts w:hint="default" w:ascii="Times New Roman" w:hAnsi="Times New Roman" w:eastAsia="方正小标宋简体" w:cs="Times New Roman"/>
          <w:color w:val="auto"/>
          <w:sz w:val="72"/>
          <w:szCs w:val="72"/>
          <w:highlight w:val="none"/>
        </w:rPr>
      </w:pPr>
    </w:p>
    <w:p>
      <w:pPr>
        <w:pageBreakBefore w:val="0"/>
        <w:kinsoku/>
        <w:wordWrap/>
        <w:overflowPunct/>
        <w:topLinePunct w:val="0"/>
        <w:bidi w:val="0"/>
        <w:spacing w:line="540" w:lineRule="exact"/>
        <w:jc w:val="center"/>
        <w:textAlignment w:val="auto"/>
        <w:outlineLvl w:val="9"/>
        <w:rPr>
          <w:rFonts w:hint="default" w:ascii="Times New Roman" w:hAnsi="Times New Roman" w:eastAsia="方正小标宋简体" w:cs="Times New Roman"/>
          <w:color w:val="auto"/>
          <w:sz w:val="72"/>
          <w:szCs w:val="72"/>
          <w:highlight w:val="none"/>
        </w:rPr>
      </w:pPr>
    </w:p>
    <w:p>
      <w:pPr>
        <w:pageBreakBefore w:val="0"/>
        <w:kinsoku/>
        <w:wordWrap/>
        <w:overflowPunct/>
        <w:topLinePunct w:val="0"/>
        <w:bidi w:val="0"/>
        <w:adjustRightInd w:val="0"/>
        <w:snapToGrid w:val="0"/>
        <w:spacing w:line="540" w:lineRule="exact"/>
        <w:jc w:val="center"/>
        <w:textAlignment w:val="auto"/>
        <w:outlineLvl w:val="0"/>
        <w:rPr>
          <w:rFonts w:hint="default" w:ascii="Times New Roman" w:hAnsi="Times New Roman" w:eastAsia="方正小标宋简体" w:cs="Times New Roman"/>
          <w:color w:val="auto"/>
          <w:sz w:val="44"/>
          <w:szCs w:val="44"/>
          <w:highlight w:val="none"/>
        </w:rPr>
      </w:pPr>
      <w:bookmarkStart w:id="6" w:name="_Toc24636"/>
      <w:r>
        <w:rPr>
          <w:rFonts w:hint="default" w:ascii="Times New Roman" w:hAnsi="Times New Roman" w:eastAsia="方正小标宋简体" w:cs="Times New Roman"/>
          <w:color w:val="auto"/>
          <w:sz w:val="44"/>
          <w:szCs w:val="44"/>
          <w:highlight w:val="none"/>
        </w:rPr>
        <w:t>20</w:t>
      </w:r>
      <w:r>
        <w:rPr>
          <w:rFonts w:hint="default" w:ascii="Times New Roman" w:hAnsi="Times New Roman" w:eastAsia="方正小标宋简体" w:cs="Times New Roman"/>
          <w:color w:val="auto"/>
          <w:sz w:val="44"/>
          <w:szCs w:val="44"/>
          <w:highlight w:val="none"/>
          <w:lang w:val="en-US" w:eastAsia="zh-CN"/>
        </w:rPr>
        <w:t>22</w:t>
      </w:r>
      <w:r>
        <w:rPr>
          <w:rFonts w:hint="default" w:ascii="Times New Roman" w:hAnsi="Times New Roman" w:eastAsia="方正小标宋简体" w:cs="Times New Roman"/>
          <w:color w:val="auto"/>
          <w:sz w:val="44"/>
          <w:szCs w:val="44"/>
          <w:highlight w:val="none"/>
        </w:rPr>
        <w:t>年度</w:t>
      </w:r>
      <w:bookmarkEnd w:id="0"/>
      <w:bookmarkEnd w:id="1"/>
      <w:bookmarkEnd w:id="2"/>
      <w:bookmarkEnd w:id="3"/>
      <w:bookmarkEnd w:id="4"/>
      <w:bookmarkEnd w:id="6"/>
    </w:p>
    <w:bookmarkEnd w:id="5"/>
    <w:p>
      <w:pPr>
        <w:pageBreakBefore w:val="0"/>
        <w:kinsoku/>
        <w:wordWrap/>
        <w:overflowPunct/>
        <w:topLinePunct w:val="0"/>
        <w:bidi w:val="0"/>
        <w:adjustRightInd w:val="0"/>
        <w:snapToGrid w:val="0"/>
        <w:spacing w:line="540" w:lineRule="exact"/>
        <w:jc w:val="center"/>
        <w:textAlignment w:val="auto"/>
        <w:outlineLvl w:val="0"/>
        <w:rPr>
          <w:rFonts w:hint="default" w:ascii="Times New Roman" w:hAnsi="Times New Roman" w:eastAsia="方正小标宋简体" w:cs="Times New Roman"/>
          <w:color w:val="auto"/>
          <w:sz w:val="72"/>
          <w:szCs w:val="72"/>
          <w:highlight w:val="none"/>
        </w:rPr>
      </w:pPr>
      <w:bookmarkStart w:id="7" w:name="_Toc1710"/>
      <w:bookmarkStart w:id="8" w:name="_Toc15377426"/>
      <w:bookmarkStart w:id="9" w:name="_Toc15306268"/>
      <w:bookmarkStart w:id="10" w:name="_Toc15396598"/>
      <w:bookmarkStart w:id="11" w:name="_Toc15378442"/>
      <w:bookmarkStart w:id="12" w:name="_Toc15396476"/>
      <w:bookmarkStart w:id="13" w:name="_Toc15377194"/>
      <w:r>
        <w:rPr>
          <w:rFonts w:hint="default" w:ascii="Times New Roman" w:hAnsi="Times New Roman" w:eastAsia="方正小标宋简体" w:cs="Times New Roman"/>
          <w:color w:val="auto"/>
          <w:sz w:val="44"/>
          <w:szCs w:val="44"/>
          <w:highlight w:val="none"/>
        </w:rPr>
        <w:t>巴中市委党史办公室（巴中市地方志办公室）部门决算</w:t>
      </w:r>
      <w:bookmarkEnd w:id="7"/>
      <w:bookmarkEnd w:id="8"/>
      <w:bookmarkEnd w:id="9"/>
      <w:bookmarkEnd w:id="10"/>
      <w:bookmarkEnd w:id="11"/>
      <w:bookmarkEnd w:id="12"/>
      <w:bookmarkEnd w:id="13"/>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黑体" w:cs="Times New Roman"/>
          <w:color w:val="auto"/>
          <w:sz w:val="28"/>
          <w:szCs w:val="28"/>
          <w:highlight w:val="none"/>
        </w:rPr>
      </w:pPr>
      <w:r>
        <w:rPr>
          <w:rFonts w:hint="default" w:ascii="Times New Roman" w:hAnsi="Times New Roman" w:eastAsia="方正小标宋简体" w:cs="Times New Roman"/>
          <w:color w:val="auto"/>
          <w:sz w:val="36"/>
          <w:szCs w:val="36"/>
          <w:highlight w:val="none"/>
        </w:rPr>
        <w:br w:type="page"/>
      </w:r>
      <w:r>
        <w:rPr>
          <w:rFonts w:hint="default" w:ascii="Times New Roman" w:hAnsi="Times New Roman" w:eastAsia="黑体" w:cs="Times New Roman"/>
          <w:color w:val="auto"/>
          <w:sz w:val="48"/>
          <w:szCs w:val="48"/>
          <w:highlight w:val="none"/>
        </w:rPr>
        <w:t>目</w:t>
      </w:r>
      <w:r>
        <w:rPr>
          <w:rFonts w:hint="default" w:ascii="Times New Roman" w:hAnsi="Times New Roman" w:eastAsia="黑体" w:cs="Times New Roman"/>
          <w:color w:val="auto"/>
          <w:sz w:val="48"/>
          <w:szCs w:val="48"/>
          <w:highlight w:val="none"/>
          <w:lang w:val="en"/>
        </w:rPr>
        <w:t xml:space="preserve">  </w:t>
      </w:r>
      <w:r>
        <w:rPr>
          <w:rFonts w:hint="default" w:ascii="Times New Roman" w:hAnsi="Times New Roman" w:eastAsia="黑体" w:cs="Times New Roman"/>
          <w:color w:val="auto"/>
          <w:sz w:val="48"/>
          <w:szCs w:val="48"/>
          <w:highlight w:val="none"/>
        </w:rPr>
        <w:t>录</w:t>
      </w:r>
    </w:p>
    <w:p>
      <w:pPr>
        <w:pStyle w:val="11"/>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公开时间：20</w:t>
      </w:r>
      <w:r>
        <w:rPr>
          <w:rFonts w:hint="default" w:ascii="Times New Roman" w:hAnsi="Times New Roman" w:cs="Times New Roman"/>
          <w:color w:val="auto"/>
          <w:highlight w:val="none"/>
          <w:lang w:val="en-US" w:eastAsia="zh-CN"/>
        </w:rPr>
        <w:t>23</w:t>
      </w:r>
      <w:r>
        <w:rPr>
          <w:rFonts w:hint="default" w:ascii="Times New Roman" w:hAnsi="Times New Roman" w:cs="Times New Roman"/>
          <w:color w:val="auto"/>
          <w:highlight w:val="none"/>
        </w:rPr>
        <w:t>年</w:t>
      </w:r>
      <w:r>
        <w:rPr>
          <w:rFonts w:hint="default" w:ascii="Times New Roman" w:hAnsi="Times New Roman" w:cs="Times New Roman"/>
          <w:color w:val="auto"/>
          <w:highlight w:val="none"/>
          <w:lang w:val="en-US" w:eastAsia="zh-CN"/>
        </w:rPr>
        <w:t>10</w:t>
      </w:r>
      <w:r>
        <w:rPr>
          <w:rFonts w:hint="default" w:ascii="Times New Roman" w:hAnsi="Times New Roman" w:cs="Times New Roman"/>
          <w:color w:val="auto"/>
          <w:highlight w:val="none"/>
        </w:rPr>
        <w:t>月</w:t>
      </w:r>
      <w:r>
        <w:rPr>
          <w:rFonts w:hint="default" w:ascii="Times New Roman" w:hAnsi="Times New Roman" w:cs="Times New Roman"/>
          <w:color w:val="auto"/>
          <w:highlight w:val="none"/>
          <w:lang w:val="en-US" w:eastAsia="zh-CN"/>
        </w:rPr>
        <w:t>1</w:t>
      </w:r>
      <w:r>
        <w:rPr>
          <w:rFonts w:hint="eastAsia" w:ascii="Times New Roman" w:hAnsi="Times New Roman" w:cs="Times New Roman"/>
          <w:color w:val="auto"/>
          <w:highlight w:val="none"/>
          <w:lang w:val="en-US" w:eastAsia="zh-CN"/>
        </w:rPr>
        <w:t>1</w:t>
      </w:r>
      <w:r>
        <w:rPr>
          <w:rFonts w:hint="default" w:ascii="Times New Roman" w:hAnsi="Times New Roman" w:cs="Times New Roman"/>
          <w:color w:val="auto"/>
          <w:highlight w:val="none"/>
        </w:rPr>
        <w:t>日</w:t>
      </w: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Times New Roman" w:hAnsi="Times New Roman" w:cs="Times New Roman"/>
          <w:color w:val="auto"/>
          <w:highlight w:val="none"/>
        </w:rPr>
      </w:pPr>
    </w:p>
    <w:sdt>
      <w:sdtPr>
        <w:rPr>
          <w:rFonts w:hint="default" w:ascii="Times New Roman" w:hAnsi="Times New Roman" w:eastAsia="宋体" w:cs="Times New Roman"/>
          <w:kern w:val="2"/>
          <w:sz w:val="24"/>
          <w:szCs w:val="24"/>
          <w:lang w:val="en-US" w:eastAsia="zh-CN" w:bidi="ar-SA"/>
        </w:rPr>
        <w:id w:val="147460794"/>
        <w15:color w:val="DBDBDB"/>
        <w:docPartObj>
          <w:docPartGallery w:val="Table of Contents"/>
          <w:docPartUnique/>
        </w:docPartObj>
      </w:sdtPr>
      <w:sdtEndPr>
        <w:rPr>
          <w:rFonts w:hint="default" w:ascii="Times New Roman" w:hAnsi="Times New Roman" w:eastAsia="宋体" w:cs="Times New Roman"/>
          <w:b/>
          <w:kern w:val="2"/>
          <w:sz w:val="21"/>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rPr>
              <w:rFonts w:hint="default" w:ascii="Times New Roman" w:hAnsi="Times New Roman" w:cs="Times New Roman"/>
              <w:b/>
              <w:sz w:val="24"/>
              <w:szCs w:val="24"/>
            </w:rPr>
          </w:pPr>
          <w:bookmarkStart w:id="14" w:name="_Toc15396599"/>
          <w:bookmarkStart w:id="15" w:name="_Toc15377196"/>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TOC \o "1-2" \h \u </w:instrText>
          </w:r>
          <w:r>
            <w:rPr>
              <w:rFonts w:hint="default" w:ascii="Times New Roman" w:hAnsi="Times New Roman" w:cs="Times New Roman"/>
              <w:sz w:val="24"/>
              <w:szCs w:val="24"/>
            </w:rPr>
            <w:fldChar w:fldCharType="separate"/>
          </w:r>
        </w:p>
        <w:p>
          <w:pPr>
            <w:pStyle w:val="35"/>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fldChar w:fldCharType="begin"/>
          </w:r>
          <w:r>
            <w:rPr>
              <w:rFonts w:hint="default" w:ascii="Times New Roman" w:hAnsi="Times New Roman" w:eastAsia="仿宋" w:cs="Times New Roman"/>
              <w:b/>
              <w:sz w:val="24"/>
              <w:szCs w:val="24"/>
            </w:rPr>
            <w:instrText xml:space="preserve"> HYPERLINK \l _Toc18520 </w:instrText>
          </w:r>
          <w:r>
            <w:rPr>
              <w:rFonts w:hint="default" w:ascii="Times New Roman" w:hAnsi="Times New Roman" w:eastAsia="仿宋" w:cs="Times New Roman"/>
              <w:b/>
              <w:sz w:val="24"/>
              <w:szCs w:val="24"/>
            </w:rPr>
            <w:fldChar w:fldCharType="separate"/>
          </w:r>
          <w:r>
            <w:rPr>
              <w:rFonts w:hint="default" w:ascii="Times New Roman" w:hAnsi="Times New Roman" w:eastAsia="仿宋" w:cs="Times New Roman"/>
              <w:b/>
              <w:sz w:val="24"/>
              <w:szCs w:val="24"/>
              <w:highlight w:val="none"/>
            </w:rPr>
            <w:t xml:space="preserve">第一部分 </w:t>
          </w:r>
          <w:r>
            <w:rPr>
              <w:rFonts w:hint="default" w:ascii="Times New Roman" w:hAnsi="Times New Roman" w:eastAsia="仿宋" w:cs="Times New Roman"/>
              <w:b/>
              <w:bCs w:val="0"/>
              <w:sz w:val="24"/>
              <w:szCs w:val="24"/>
              <w:highlight w:val="none"/>
            </w:rPr>
            <w:t>部门概况</w:t>
          </w:r>
          <w:r>
            <w:rPr>
              <w:rFonts w:hint="default" w:ascii="Times New Roman" w:hAnsi="Times New Roman" w:eastAsia="仿宋" w:cs="Times New Roman"/>
              <w:b/>
              <w:sz w:val="24"/>
              <w:szCs w:val="24"/>
            </w:rPr>
            <w:tab/>
          </w:r>
          <w:r>
            <w:rPr>
              <w:rFonts w:hint="default" w:ascii="Times New Roman" w:hAnsi="Times New Roman" w:eastAsia="仿宋" w:cs="Times New Roman"/>
              <w:b/>
              <w:sz w:val="24"/>
              <w:szCs w:val="24"/>
            </w:rPr>
            <w:fldChar w:fldCharType="begin"/>
          </w:r>
          <w:r>
            <w:rPr>
              <w:rFonts w:hint="default" w:ascii="Times New Roman" w:hAnsi="Times New Roman" w:eastAsia="仿宋" w:cs="Times New Roman"/>
              <w:b/>
              <w:sz w:val="24"/>
              <w:szCs w:val="24"/>
            </w:rPr>
            <w:instrText xml:space="preserve"> PAGEREF _Toc18520 \h </w:instrText>
          </w:r>
          <w:r>
            <w:rPr>
              <w:rFonts w:hint="default" w:ascii="Times New Roman" w:hAnsi="Times New Roman" w:eastAsia="仿宋" w:cs="Times New Roman"/>
              <w:b/>
              <w:sz w:val="24"/>
              <w:szCs w:val="24"/>
            </w:rPr>
            <w:fldChar w:fldCharType="separate"/>
          </w:r>
          <w:r>
            <w:rPr>
              <w:rFonts w:hint="default" w:ascii="Times New Roman" w:hAnsi="Times New Roman" w:eastAsia="仿宋" w:cs="Times New Roman"/>
              <w:b/>
              <w:sz w:val="24"/>
              <w:szCs w:val="24"/>
            </w:rPr>
            <w:t>3</w:t>
          </w:r>
          <w:r>
            <w:rPr>
              <w:rFonts w:hint="default" w:ascii="Times New Roman" w:hAnsi="Times New Roman" w:eastAsia="仿宋" w:cs="Times New Roman"/>
              <w:b/>
              <w:sz w:val="24"/>
              <w:szCs w:val="24"/>
            </w:rPr>
            <w:fldChar w:fldCharType="end"/>
          </w:r>
          <w:r>
            <w:rPr>
              <w:rFonts w:hint="default" w:ascii="Times New Roman" w:hAnsi="Times New Roman" w:eastAsia="仿宋" w:cs="Times New Roman"/>
              <w:b/>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_Toc7397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highlight w:val="none"/>
            </w:rPr>
            <w:t>一、</w:t>
          </w:r>
          <w:r>
            <w:rPr>
              <w:rFonts w:hint="default" w:ascii="Times New Roman" w:hAnsi="Times New Roman" w:eastAsia="仿宋" w:cs="Times New Roman"/>
              <w:sz w:val="24"/>
              <w:szCs w:val="24"/>
              <w:highlight w:val="none"/>
              <w:lang w:eastAsia="zh-CN"/>
            </w:rPr>
            <w:t>部门职责</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_Toc7397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_Toc30462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highlight w:val="none"/>
            </w:rPr>
            <w:t>二、机</w:t>
          </w:r>
          <w:r>
            <w:rPr>
              <w:rFonts w:hint="default" w:ascii="Times New Roman" w:hAnsi="Times New Roman" w:eastAsia="仿宋" w:cs="Times New Roman"/>
              <w:bCs w:val="0"/>
              <w:sz w:val="24"/>
              <w:szCs w:val="24"/>
              <w:highlight w:val="none"/>
            </w:rPr>
            <w:t>构设置</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_Toc30462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4</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5"/>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fldChar w:fldCharType="begin"/>
          </w:r>
          <w:r>
            <w:rPr>
              <w:rFonts w:hint="default" w:ascii="Times New Roman" w:hAnsi="Times New Roman" w:eastAsia="仿宋" w:cs="Times New Roman"/>
              <w:b/>
              <w:sz w:val="24"/>
              <w:szCs w:val="24"/>
            </w:rPr>
            <w:instrText xml:space="preserve"> HYPERLINK \l _Toc13386 </w:instrText>
          </w:r>
          <w:r>
            <w:rPr>
              <w:rFonts w:hint="default" w:ascii="Times New Roman" w:hAnsi="Times New Roman" w:eastAsia="仿宋" w:cs="Times New Roman"/>
              <w:b/>
              <w:sz w:val="24"/>
              <w:szCs w:val="24"/>
            </w:rPr>
            <w:fldChar w:fldCharType="separate"/>
          </w:r>
          <w:r>
            <w:rPr>
              <w:rFonts w:hint="default" w:ascii="Times New Roman" w:hAnsi="Times New Roman" w:eastAsia="仿宋" w:cs="Times New Roman"/>
              <w:b/>
              <w:bCs/>
              <w:sz w:val="24"/>
              <w:szCs w:val="24"/>
              <w:highlight w:val="none"/>
            </w:rPr>
            <w:t xml:space="preserve">第二部分 </w:t>
          </w:r>
          <w:r>
            <w:rPr>
              <w:rFonts w:hint="default" w:ascii="Times New Roman" w:hAnsi="Times New Roman" w:eastAsia="仿宋" w:cs="Times New Roman"/>
              <w:b/>
              <w:bCs/>
              <w:sz w:val="24"/>
              <w:szCs w:val="24"/>
              <w:highlight w:val="none"/>
              <w:lang w:val="en-US" w:eastAsia="zh-CN"/>
            </w:rPr>
            <w:t>2022年度</w:t>
          </w:r>
          <w:r>
            <w:rPr>
              <w:rFonts w:hint="default" w:ascii="Times New Roman" w:hAnsi="Times New Roman" w:eastAsia="仿宋" w:cs="Times New Roman"/>
              <w:b/>
              <w:bCs/>
              <w:sz w:val="24"/>
              <w:szCs w:val="24"/>
              <w:highlight w:val="none"/>
            </w:rPr>
            <w:t>部门决算情况说明</w:t>
          </w:r>
          <w:r>
            <w:rPr>
              <w:rFonts w:hint="default" w:ascii="Times New Roman" w:hAnsi="Times New Roman" w:eastAsia="仿宋" w:cs="Times New Roman"/>
              <w:b/>
              <w:sz w:val="24"/>
              <w:szCs w:val="24"/>
            </w:rPr>
            <w:tab/>
          </w:r>
          <w:r>
            <w:rPr>
              <w:rFonts w:hint="default" w:ascii="Times New Roman" w:hAnsi="Times New Roman" w:eastAsia="仿宋" w:cs="Times New Roman"/>
              <w:b/>
              <w:sz w:val="24"/>
              <w:szCs w:val="24"/>
            </w:rPr>
            <w:fldChar w:fldCharType="begin"/>
          </w:r>
          <w:r>
            <w:rPr>
              <w:rFonts w:hint="default" w:ascii="Times New Roman" w:hAnsi="Times New Roman" w:eastAsia="仿宋" w:cs="Times New Roman"/>
              <w:b/>
              <w:sz w:val="24"/>
              <w:szCs w:val="24"/>
            </w:rPr>
            <w:instrText xml:space="preserve"> PAGEREF _Toc13386 \h </w:instrText>
          </w:r>
          <w:r>
            <w:rPr>
              <w:rFonts w:hint="default" w:ascii="Times New Roman" w:hAnsi="Times New Roman" w:eastAsia="仿宋" w:cs="Times New Roman"/>
              <w:b/>
              <w:sz w:val="24"/>
              <w:szCs w:val="24"/>
            </w:rPr>
            <w:fldChar w:fldCharType="separate"/>
          </w:r>
          <w:r>
            <w:rPr>
              <w:rFonts w:hint="default" w:ascii="Times New Roman" w:hAnsi="Times New Roman" w:eastAsia="仿宋" w:cs="Times New Roman"/>
              <w:b/>
              <w:sz w:val="24"/>
              <w:szCs w:val="24"/>
            </w:rPr>
            <w:t>5</w:t>
          </w:r>
          <w:r>
            <w:rPr>
              <w:rFonts w:hint="default" w:ascii="Times New Roman" w:hAnsi="Times New Roman" w:eastAsia="仿宋" w:cs="Times New Roman"/>
              <w:b/>
              <w:sz w:val="24"/>
              <w:szCs w:val="24"/>
            </w:rPr>
            <w:fldChar w:fldCharType="end"/>
          </w:r>
          <w:r>
            <w:rPr>
              <w:rFonts w:hint="default" w:ascii="Times New Roman" w:hAnsi="Times New Roman" w:eastAsia="仿宋" w:cs="Times New Roman"/>
              <w:b/>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_Toc30653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 xml:space="preserve">一、 </w:t>
          </w:r>
          <w:r>
            <w:rPr>
              <w:rFonts w:hint="default" w:ascii="Times New Roman" w:hAnsi="Times New Roman" w:eastAsia="仿宋" w:cs="Times New Roman"/>
              <w:sz w:val="24"/>
              <w:szCs w:val="24"/>
              <w:highlight w:val="none"/>
            </w:rPr>
            <w:t>收入支出决算总体情况说明</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_Toc30653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5</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_Toc25008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 xml:space="preserve">二、 </w:t>
          </w:r>
          <w:r>
            <w:rPr>
              <w:rFonts w:hint="default" w:ascii="Times New Roman" w:hAnsi="Times New Roman" w:eastAsia="仿宋" w:cs="Times New Roman"/>
              <w:sz w:val="24"/>
              <w:szCs w:val="24"/>
              <w:highlight w:val="none"/>
            </w:rPr>
            <w:t>收入决算情况说明</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_Toc25008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5</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_Toc834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 xml:space="preserve">三、 </w:t>
          </w:r>
          <w:r>
            <w:rPr>
              <w:rFonts w:hint="default" w:ascii="Times New Roman" w:hAnsi="Times New Roman" w:eastAsia="仿宋" w:cs="Times New Roman"/>
              <w:sz w:val="24"/>
              <w:szCs w:val="24"/>
              <w:highlight w:val="none"/>
            </w:rPr>
            <w:t>支出决算情况说明</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_Toc834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6</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_Toc11972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highlight w:val="none"/>
            </w:rPr>
            <w:t>四、财政拨款收入支出决算总体情况说明</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_Toc11972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7</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_Toc6906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highlight w:val="none"/>
            </w:rPr>
            <w:t>五、一般公共预算财政拨款支出决算情况说明</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_Toc6906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7</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_Toc4396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highlight w:val="none"/>
            </w:rPr>
            <w:t>六、一般公共预算财政拨款基本支出决算情况说明</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_Toc4396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11</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_Toc2375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highlight w:val="none"/>
            </w:rPr>
            <w:t>七、财政拨款“三公”经费支出决算情况说明</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_Toc2375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12</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_Toc6418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highlight w:val="none"/>
            </w:rPr>
            <w:t>八、政府性基金预算支出决算情况说明</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_Toc6418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14</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_Toc14989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 xml:space="preserve">九、 </w:t>
          </w:r>
          <w:r>
            <w:rPr>
              <w:rFonts w:hint="default" w:ascii="Times New Roman" w:hAnsi="Times New Roman" w:eastAsia="仿宋" w:cs="Times New Roman"/>
              <w:sz w:val="24"/>
              <w:szCs w:val="24"/>
              <w:highlight w:val="none"/>
            </w:rPr>
            <w:t>国有资本经营预算支出决算情况说明</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_Toc14989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14</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_Toc30716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 xml:space="preserve">十、 </w:t>
          </w:r>
          <w:r>
            <w:rPr>
              <w:rFonts w:hint="default" w:ascii="Times New Roman" w:hAnsi="Times New Roman" w:eastAsia="仿宋" w:cs="Times New Roman"/>
              <w:sz w:val="24"/>
              <w:szCs w:val="24"/>
              <w:highlight w:val="none"/>
            </w:rPr>
            <w:t>其他重要事项的情况说明</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_Toc30716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14</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5"/>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fldChar w:fldCharType="begin"/>
          </w:r>
          <w:r>
            <w:rPr>
              <w:rFonts w:hint="default" w:ascii="Times New Roman" w:hAnsi="Times New Roman" w:eastAsia="仿宋" w:cs="Times New Roman"/>
              <w:b/>
              <w:sz w:val="24"/>
              <w:szCs w:val="24"/>
            </w:rPr>
            <w:instrText xml:space="preserve"> HYPERLINK \l _Toc23740 </w:instrText>
          </w:r>
          <w:r>
            <w:rPr>
              <w:rFonts w:hint="default" w:ascii="Times New Roman" w:hAnsi="Times New Roman" w:eastAsia="仿宋" w:cs="Times New Roman"/>
              <w:b/>
              <w:sz w:val="24"/>
              <w:szCs w:val="24"/>
            </w:rPr>
            <w:fldChar w:fldCharType="separate"/>
          </w:r>
          <w:r>
            <w:rPr>
              <w:rFonts w:hint="default" w:ascii="Times New Roman" w:hAnsi="Times New Roman" w:eastAsia="仿宋" w:cs="Times New Roman"/>
              <w:b/>
              <w:sz w:val="24"/>
              <w:szCs w:val="24"/>
            </w:rPr>
            <w:t xml:space="preserve">第三部分 </w:t>
          </w:r>
          <w:r>
            <w:rPr>
              <w:rFonts w:hint="default" w:ascii="Times New Roman" w:hAnsi="Times New Roman" w:eastAsia="仿宋" w:cs="Times New Roman"/>
              <w:b/>
              <w:sz w:val="24"/>
              <w:szCs w:val="24"/>
              <w:highlight w:val="none"/>
            </w:rPr>
            <w:t>名词解释</w:t>
          </w:r>
          <w:r>
            <w:rPr>
              <w:rFonts w:hint="default" w:ascii="Times New Roman" w:hAnsi="Times New Roman" w:eastAsia="仿宋" w:cs="Times New Roman"/>
              <w:b/>
              <w:sz w:val="24"/>
              <w:szCs w:val="24"/>
            </w:rPr>
            <w:tab/>
          </w:r>
          <w:r>
            <w:rPr>
              <w:rFonts w:hint="default" w:ascii="Times New Roman" w:hAnsi="Times New Roman" w:eastAsia="仿宋" w:cs="Times New Roman"/>
              <w:b/>
              <w:sz w:val="24"/>
              <w:szCs w:val="24"/>
            </w:rPr>
            <w:fldChar w:fldCharType="begin"/>
          </w:r>
          <w:r>
            <w:rPr>
              <w:rFonts w:hint="default" w:ascii="Times New Roman" w:hAnsi="Times New Roman" w:eastAsia="仿宋" w:cs="Times New Roman"/>
              <w:b/>
              <w:sz w:val="24"/>
              <w:szCs w:val="24"/>
            </w:rPr>
            <w:instrText xml:space="preserve"> PAGEREF _Toc23740 \h </w:instrText>
          </w:r>
          <w:r>
            <w:rPr>
              <w:rFonts w:hint="default" w:ascii="Times New Roman" w:hAnsi="Times New Roman" w:eastAsia="仿宋" w:cs="Times New Roman"/>
              <w:b/>
              <w:sz w:val="24"/>
              <w:szCs w:val="24"/>
            </w:rPr>
            <w:fldChar w:fldCharType="separate"/>
          </w:r>
          <w:r>
            <w:rPr>
              <w:rFonts w:hint="default" w:ascii="Times New Roman" w:hAnsi="Times New Roman" w:eastAsia="仿宋" w:cs="Times New Roman"/>
              <w:b/>
              <w:sz w:val="24"/>
              <w:szCs w:val="24"/>
            </w:rPr>
            <w:t>16</w:t>
          </w:r>
          <w:r>
            <w:rPr>
              <w:rFonts w:hint="default" w:ascii="Times New Roman" w:hAnsi="Times New Roman" w:eastAsia="仿宋" w:cs="Times New Roman"/>
              <w:b/>
              <w:sz w:val="24"/>
              <w:szCs w:val="24"/>
            </w:rPr>
            <w:fldChar w:fldCharType="end"/>
          </w:r>
          <w:r>
            <w:rPr>
              <w:rFonts w:hint="default" w:ascii="Times New Roman" w:hAnsi="Times New Roman" w:eastAsia="仿宋" w:cs="Times New Roman"/>
              <w:b/>
              <w:sz w:val="24"/>
              <w:szCs w:val="24"/>
            </w:rPr>
            <w:fldChar w:fldCharType="end"/>
          </w:r>
        </w:p>
        <w:p>
          <w:pPr>
            <w:pStyle w:val="35"/>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fldChar w:fldCharType="begin"/>
          </w:r>
          <w:r>
            <w:rPr>
              <w:rFonts w:hint="default" w:ascii="Times New Roman" w:hAnsi="Times New Roman" w:eastAsia="仿宋" w:cs="Times New Roman"/>
              <w:b/>
              <w:sz w:val="24"/>
              <w:szCs w:val="24"/>
            </w:rPr>
            <w:instrText xml:space="preserve"> HYPERLINK \l _Toc28035 </w:instrText>
          </w:r>
          <w:r>
            <w:rPr>
              <w:rFonts w:hint="default" w:ascii="Times New Roman" w:hAnsi="Times New Roman" w:eastAsia="仿宋" w:cs="Times New Roman"/>
              <w:b/>
              <w:sz w:val="24"/>
              <w:szCs w:val="24"/>
            </w:rPr>
            <w:fldChar w:fldCharType="separate"/>
          </w:r>
          <w:r>
            <w:rPr>
              <w:rFonts w:hint="default" w:ascii="Times New Roman" w:hAnsi="Times New Roman" w:eastAsia="仿宋" w:cs="Times New Roman"/>
              <w:b/>
              <w:sz w:val="24"/>
              <w:szCs w:val="24"/>
              <w:highlight w:val="none"/>
            </w:rPr>
            <w:t>第四部分 附件</w:t>
          </w:r>
          <w:r>
            <w:rPr>
              <w:rFonts w:hint="default" w:ascii="Times New Roman" w:hAnsi="Times New Roman" w:eastAsia="仿宋" w:cs="Times New Roman"/>
              <w:b/>
              <w:sz w:val="24"/>
              <w:szCs w:val="24"/>
            </w:rPr>
            <w:tab/>
          </w:r>
          <w:r>
            <w:rPr>
              <w:rFonts w:hint="default" w:ascii="Times New Roman" w:hAnsi="Times New Roman" w:eastAsia="仿宋" w:cs="Times New Roman"/>
              <w:b/>
              <w:sz w:val="24"/>
              <w:szCs w:val="24"/>
            </w:rPr>
            <w:fldChar w:fldCharType="begin"/>
          </w:r>
          <w:r>
            <w:rPr>
              <w:rFonts w:hint="default" w:ascii="Times New Roman" w:hAnsi="Times New Roman" w:eastAsia="仿宋" w:cs="Times New Roman"/>
              <w:b/>
              <w:sz w:val="24"/>
              <w:szCs w:val="24"/>
            </w:rPr>
            <w:instrText xml:space="preserve"> PAGEREF _Toc28035 \h </w:instrText>
          </w:r>
          <w:r>
            <w:rPr>
              <w:rFonts w:hint="default" w:ascii="Times New Roman" w:hAnsi="Times New Roman" w:eastAsia="仿宋" w:cs="Times New Roman"/>
              <w:b/>
              <w:sz w:val="24"/>
              <w:szCs w:val="24"/>
            </w:rPr>
            <w:fldChar w:fldCharType="separate"/>
          </w:r>
          <w:r>
            <w:rPr>
              <w:rFonts w:hint="default" w:ascii="Times New Roman" w:hAnsi="Times New Roman" w:eastAsia="仿宋" w:cs="Times New Roman"/>
              <w:b/>
              <w:sz w:val="24"/>
              <w:szCs w:val="24"/>
            </w:rPr>
            <w:t>19</w:t>
          </w:r>
          <w:r>
            <w:rPr>
              <w:rFonts w:hint="default" w:ascii="Times New Roman" w:hAnsi="Times New Roman" w:eastAsia="仿宋" w:cs="Times New Roman"/>
              <w:b/>
              <w:sz w:val="24"/>
              <w:szCs w:val="24"/>
            </w:rPr>
            <w:fldChar w:fldCharType="end"/>
          </w:r>
          <w:r>
            <w:rPr>
              <w:rFonts w:hint="default" w:ascii="Times New Roman" w:hAnsi="Times New Roman" w:eastAsia="仿宋" w:cs="Times New Roman"/>
              <w:b/>
              <w:sz w:val="24"/>
              <w:szCs w:val="24"/>
            </w:rPr>
            <w:fldChar w:fldCharType="end"/>
          </w:r>
        </w:p>
        <w:p>
          <w:pPr>
            <w:pStyle w:val="35"/>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b/>
              <w:sz w:val="24"/>
              <w:szCs w:val="24"/>
              <w:lang w:val="en"/>
            </w:rPr>
          </w:pPr>
          <w:r>
            <w:rPr>
              <w:rFonts w:hint="default" w:ascii="Times New Roman" w:hAnsi="Times New Roman" w:eastAsia="仿宋" w:cs="Times New Roman"/>
              <w:b/>
              <w:sz w:val="24"/>
              <w:szCs w:val="24"/>
            </w:rPr>
            <w:fldChar w:fldCharType="begin"/>
          </w:r>
          <w:r>
            <w:rPr>
              <w:rFonts w:hint="default" w:ascii="Times New Roman" w:hAnsi="Times New Roman" w:eastAsia="仿宋" w:cs="Times New Roman"/>
              <w:b/>
              <w:sz w:val="24"/>
              <w:szCs w:val="24"/>
            </w:rPr>
            <w:instrText xml:space="preserve"> HYPERLINK \l _Toc22884 </w:instrText>
          </w:r>
          <w:r>
            <w:rPr>
              <w:rFonts w:hint="default" w:ascii="Times New Roman" w:hAnsi="Times New Roman" w:eastAsia="仿宋" w:cs="Times New Roman"/>
              <w:b/>
              <w:sz w:val="24"/>
              <w:szCs w:val="24"/>
            </w:rPr>
            <w:fldChar w:fldCharType="separate"/>
          </w:r>
          <w:r>
            <w:rPr>
              <w:rFonts w:hint="default" w:ascii="Times New Roman" w:hAnsi="Times New Roman" w:eastAsia="仿宋" w:cs="Times New Roman"/>
              <w:b/>
              <w:sz w:val="24"/>
              <w:szCs w:val="24"/>
              <w:highlight w:val="none"/>
            </w:rPr>
            <w:t>第五部分 附表</w:t>
          </w:r>
          <w:r>
            <w:rPr>
              <w:rFonts w:hint="default" w:ascii="Times New Roman" w:hAnsi="Times New Roman" w:eastAsia="仿宋" w:cs="Times New Roman"/>
              <w:b/>
              <w:sz w:val="24"/>
              <w:szCs w:val="24"/>
            </w:rPr>
            <w:tab/>
          </w:r>
          <w:r>
            <w:rPr>
              <w:rFonts w:hint="default" w:ascii="Times New Roman" w:hAnsi="Times New Roman" w:eastAsia="仿宋" w:cs="Times New Roman"/>
              <w:b/>
              <w:sz w:val="24"/>
              <w:szCs w:val="24"/>
              <w:lang w:val="en"/>
            </w:rPr>
            <w:t>3</w:t>
          </w:r>
          <w:r>
            <w:rPr>
              <w:rFonts w:hint="default" w:ascii="Times New Roman" w:hAnsi="Times New Roman" w:eastAsia="仿宋" w:cs="Times New Roman"/>
              <w:b/>
              <w:sz w:val="24"/>
              <w:szCs w:val="24"/>
            </w:rPr>
            <w:fldChar w:fldCharType="end"/>
          </w:r>
          <w:r>
            <w:rPr>
              <w:rFonts w:hint="default" w:ascii="Times New Roman" w:hAnsi="Times New Roman" w:eastAsia="仿宋" w:cs="Times New Roman"/>
              <w:b/>
              <w:sz w:val="24"/>
              <w:szCs w:val="24"/>
              <w:lang w:val="en"/>
            </w:rPr>
            <w:t>6</w:t>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_Toc2757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highlight w:val="none"/>
            </w:rPr>
            <w:t>一、收</w:t>
          </w:r>
          <w:r>
            <w:rPr>
              <w:rFonts w:hint="default" w:ascii="Times New Roman" w:hAnsi="Times New Roman" w:eastAsia="仿宋" w:cs="Times New Roman"/>
              <w:bCs w:val="0"/>
              <w:sz w:val="24"/>
              <w:szCs w:val="24"/>
              <w:highlight w:val="none"/>
            </w:rPr>
            <w:t>入支出决算总表</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_Toc2757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36</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_Toc29781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highlight w:val="none"/>
            </w:rPr>
            <w:t>二、收</w:t>
          </w:r>
          <w:r>
            <w:rPr>
              <w:rFonts w:hint="default" w:ascii="Times New Roman" w:hAnsi="Times New Roman" w:eastAsia="仿宋" w:cs="Times New Roman"/>
              <w:bCs w:val="0"/>
              <w:sz w:val="24"/>
              <w:szCs w:val="24"/>
              <w:highlight w:val="none"/>
            </w:rPr>
            <w:t>入决算表</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_Toc29781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36</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_Toc32502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bCs w:val="0"/>
              <w:sz w:val="24"/>
              <w:szCs w:val="24"/>
              <w:highlight w:val="none"/>
            </w:rPr>
            <w:t>三、</w:t>
          </w:r>
          <w:r>
            <w:rPr>
              <w:rFonts w:hint="default" w:ascii="Times New Roman" w:hAnsi="Times New Roman" w:eastAsia="仿宋" w:cs="Times New Roman"/>
              <w:sz w:val="24"/>
              <w:szCs w:val="24"/>
              <w:highlight w:val="none"/>
            </w:rPr>
            <w:t>支</w:t>
          </w:r>
          <w:r>
            <w:rPr>
              <w:rFonts w:hint="default" w:ascii="Times New Roman" w:hAnsi="Times New Roman" w:eastAsia="仿宋" w:cs="Times New Roman"/>
              <w:bCs w:val="0"/>
              <w:sz w:val="24"/>
              <w:szCs w:val="24"/>
              <w:highlight w:val="none"/>
            </w:rPr>
            <w:t>出决算表</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_Toc32502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36</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_Toc2005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bCs w:val="0"/>
              <w:sz w:val="24"/>
              <w:szCs w:val="24"/>
              <w:highlight w:val="none"/>
            </w:rPr>
            <w:t>四、</w:t>
          </w:r>
          <w:r>
            <w:rPr>
              <w:rFonts w:hint="default" w:ascii="Times New Roman" w:hAnsi="Times New Roman" w:eastAsia="仿宋" w:cs="Times New Roman"/>
              <w:sz w:val="24"/>
              <w:szCs w:val="24"/>
              <w:highlight w:val="none"/>
            </w:rPr>
            <w:t>财</w:t>
          </w:r>
          <w:r>
            <w:rPr>
              <w:rFonts w:hint="default" w:ascii="Times New Roman" w:hAnsi="Times New Roman" w:eastAsia="仿宋" w:cs="Times New Roman"/>
              <w:bCs w:val="0"/>
              <w:sz w:val="24"/>
              <w:szCs w:val="24"/>
              <w:highlight w:val="none"/>
            </w:rPr>
            <w:t>政拨款收入支出决算总表</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_Toc2005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36</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_Toc14055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bCs w:val="0"/>
              <w:sz w:val="24"/>
              <w:szCs w:val="24"/>
              <w:highlight w:val="none"/>
            </w:rPr>
            <w:t>五、</w:t>
          </w:r>
          <w:r>
            <w:rPr>
              <w:rFonts w:hint="default" w:ascii="Times New Roman" w:hAnsi="Times New Roman" w:eastAsia="仿宋" w:cs="Times New Roman"/>
              <w:sz w:val="24"/>
              <w:szCs w:val="24"/>
              <w:highlight w:val="none"/>
            </w:rPr>
            <w:t>财</w:t>
          </w:r>
          <w:r>
            <w:rPr>
              <w:rFonts w:hint="default" w:ascii="Times New Roman" w:hAnsi="Times New Roman" w:eastAsia="仿宋" w:cs="Times New Roman"/>
              <w:bCs w:val="0"/>
              <w:sz w:val="24"/>
              <w:szCs w:val="24"/>
              <w:highlight w:val="none"/>
            </w:rPr>
            <w:t>政拨款支出决算明细表</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_Toc14055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36</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_Toc16595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bCs w:val="0"/>
              <w:sz w:val="24"/>
              <w:szCs w:val="24"/>
              <w:highlight w:val="none"/>
            </w:rPr>
            <w:t>六、</w:t>
          </w:r>
          <w:r>
            <w:rPr>
              <w:rFonts w:hint="default" w:ascii="Times New Roman" w:hAnsi="Times New Roman" w:eastAsia="仿宋" w:cs="Times New Roman"/>
              <w:sz w:val="24"/>
              <w:szCs w:val="24"/>
              <w:highlight w:val="none"/>
            </w:rPr>
            <w:t>一</w:t>
          </w:r>
          <w:r>
            <w:rPr>
              <w:rFonts w:hint="default" w:ascii="Times New Roman" w:hAnsi="Times New Roman" w:eastAsia="仿宋" w:cs="Times New Roman"/>
              <w:bCs w:val="0"/>
              <w:sz w:val="24"/>
              <w:szCs w:val="24"/>
              <w:highlight w:val="none"/>
            </w:rPr>
            <w:t>般公共预算财政拨款支出决算表</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_Toc16595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36</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_Toc16663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bCs w:val="0"/>
              <w:sz w:val="24"/>
              <w:szCs w:val="24"/>
              <w:highlight w:val="none"/>
            </w:rPr>
            <w:t>七、</w:t>
          </w:r>
          <w:r>
            <w:rPr>
              <w:rFonts w:hint="default" w:ascii="Times New Roman" w:hAnsi="Times New Roman" w:eastAsia="仿宋" w:cs="Times New Roman"/>
              <w:sz w:val="24"/>
              <w:szCs w:val="24"/>
              <w:highlight w:val="none"/>
            </w:rPr>
            <w:t>一</w:t>
          </w:r>
          <w:r>
            <w:rPr>
              <w:rFonts w:hint="default" w:ascii="Times New Roman" w:hAnsi="Times New Roman" w:eastAsia="仿宋" w:cs="Times New Roman"/>
              <w:bCs w:val="0"/>
              <w:sz w:val="24"/>
              <w:szCs w:val="24"/>
              <w:highlight w:val="none"/>
            </w:rPr>
            <w:t>般公共预算财政拨款支出决算明细表</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_Toc16663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36</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_Toc31712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bCs w:val="0"/>
              <w:sz w:val="24"/>
              <w:szCs w:val="24"/>
              <w:highlight w:val="none"/>
            </w:rPr>
            <w:t>八、</w:t>
          </w:r>
          <w:r>
            <w:rPr>
              <w:rFonts w:hint="default" w:ascii="Times New Roman" w:hAnsi="Times New Roman" w:eastAsia="仿宋" w:cs="Times New Roman"/>
              <w:sz w:val="24"/>
              <w:szCs w:val="24"/>
              <w:highlight w:val="none"/>
            </w:rPr>
            <w:t>一</w:t>
          </w:r>
          <w:r>
            <w:rPr>
              <w:rFonts w:hint="default" w:ascii="Times New Roman" w:hAnsi="Times New Roman" w:eastAsia="仿宋" w:cs="Times New Roman"/>
              <w:bCs w:val="0"/>
              <w:sz w:val="24"/>
              <w:szCs w:val="24"/>
              <w:highlight w:val="none"/>
            </w:rPr>
            <w:t>般公共预算财政拨款基本支出决算表</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_Toc31712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36</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_Toc6077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bCs w:val="0"/>
              <w:sz w:val="24"/>
              <w:szCs w:val="24"/>
              <w:highlight w:val="none"/>
            </w:rPr>
            <w:t>九、</w:t>
          </w:r>
          <w:r>
            <w:rPr>
              <w:rFonts w:hint="default" w:ascii="Times New Roman" w:hAnsi="Times New Roman" w:eastAsia="仿宋" w:cs="Times New Roman"/>
              <w:sz w:val="24"/>
              <w:szCs w:val="24"/>
              <w:highlight w:val="none"/>
            </w:rPr>
            <w:t>一</w:t>
          </w:r>
          <w:r>
            <w:rPr>
              <w:rFonts w:hint="default" w:ascii="Times New Roman" w:hAnsi="Times New Roman" w:eastAsia="仿宋" w:cs="Times New Roman"/>
              <w:bCs w:val="0"/>
              <w:sz w:val="24"/>
              <w:szCs w:val="24"/>
              <w:highlight w:val="none"/>
            </w:rPr>
            <w:t>般公共预算财政拨款项目支出决算表</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_Toc6077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36</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_Toc8880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bCs w:val="0"/>
              <w:sz w:val="24"/>
              <w:szCs w:val="24"/>
              <w:highlight w:val="none"/>
            </w:rPr>
            <w:t>十、</w:t>
          </w:r>
          <w:r>
            <w:rPr>
              <w:rFonts w:hint="default" w:ascii="Times New Roman" w:hAnsi="Times New Roman" w:eastAsia="仿宋" w:cs="Times New Roman"/>
              <w:sz w:val="24"/>
              <w:szCs w:val="24"/>
              <w:highlight w:val="none"/>
            </w:rPr>
            <w:t>政</w:t>
          </w:r>
          <w:r>
            <w:rPr>
              <w:rFonts w:hint="default" w:ascii="Times New Roman" w:hAnsi="Times New Roman" w:eastAsia="仿宋" w:cs="Times New Roman"/>
              <w:bCs w:val="0"/>
              <w:sz w:val="24"/>
              <w:szCs w:val="24"/>
              <w:highlight w:val="none"/>
            </w:rPr>
            <w:t>府性基金预算财政拨款收入支出决算表</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_Toc8880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36</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_Toc23717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bCs w:val="0"/>
              <w:sz w:val="24"/>
              <w:szCs w:val="24"/>
              <w:highlight w:val="none"/>
            </w:rPr>
            <w:t>十一、</w:t>
          </w:r>
          <w:r>
            <w:rPr>
              <w:rFonts w:hint="default" w:ascii="Times New Roman" w:hAnsi="Times New Roman" w:eastAsia="仿宋" w:cs="Times New Roman"/>
              <w:sz w:val="24"/>
              <w:szCs w:val="24"/>
              <w:highlight w:val="none"/>
            </w:rPr>
            <w:t>国</w:t>
          </w:r>
          <w:r>
            <w:rPr>
              <w:rFonts w:hint="default" w:ascii="Times New Roman" w:hAnsi="Times New Roman" w:eastAsia="仿宋" w:cs="Times New Roman"/>
              <w:bCs w:val="0"/>
              <w:sz w:val="24"/>
              <w:szCs w:val="24"/>
              <w:highlight w:val="none"/>
            </w:rPr>
            <w:t>有资本经营预算</w:t>
          </w:r>
          <w:r>
            <w:rPr>
              <w:rFonts w:hint="default" w:ascii="Times New Roman" w:hAnsi="Times New Roman" w:eastAsia="仿宋" w:cs="Times New Roman"/>
              <w:bCs w:val="0"/>
              <w:sz w:val="24"/>
              <w:szCs w:val="24"/>
              <w:highlight w:val="none"/>
              <w:lang w:eastAsia="zh-CN"/>
            </w:rPr>
            <w:t>财政拨款收入</w:t>
          </w:r>
          <w:r>
            <w:rPr>
              <w:rFonts w:hint="default" w:ascii="Times New Roman" w:hAnsi="Times New Roman" w:eastAsia="仿宋" w:cs="Times New Roman"/>
              <w:bCs w:val="0"/>
              <w:sz w:val="24"/>
              <w:szCs w:val="24"/>
              <w:highlight w:val="none"/>
            </w:rPr>
            <w:t>支出决算表</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_Toc23717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36</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_Toc31497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bCs w:val="0"/>
              <w:sz w:val="24"/>
              <w:szCs w:val="24"/>
              <w:highlight w:val="none"/>
            </w:rPr>
            <w:t>十二、</w:t>
          </w:r>
          <w:r>
            <w:rPr>
              <w:rFonts w:hint="default" w:ascii="Times New Roman" w:hAnsi="Times New Roman" w:eastAsia="仿宋" w:cs="Times New Roman"/>
              <w:bCs w:val="0"/>
              <w:sz w:val="24"/>
              <w:szCs w:val="24"/>
              <w:highlight w:val="none"/>
              <w:lang w:eastAsia="zh-CN"/>
            </w:rPr>
            <w:t>国有资本经营预算财政拨款支出决算表</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_Toc31497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36</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36"/>
            <w:keepNext w:val="0"/>
            <w:keepLines w:val="0"/>
            <w:pageBreakBefore w:val="0"/>
            <w:widowControl/>
            <w:tabs>
              <w:tab w:val="right" w:leader="dot" w:pos="8306"/>
            </w:tabs>
            <w:kinsoku/>
            <w:wordWrap/>
            <w:overflowPunct/>
            <w:topLinePunct w:val="0"/>
            <w:autoSpaceDE/>
            <w:autoSpaceDN/>
            <w:bidi w:val="0"/>
            <w:adjustRightInd/>
            <w:snapToGrid/>
            <w:spacing w:line="37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_Toc25862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bCs w:val="0"/>
              <w:sz w:val="24"/>
              <w:szCs w:val="24"/>
              <w:highlight w:val="none"/>
            </w:rPr>
            <w:t>十三、</w:t>
          </w:r>
          <w:r>
            <w:rPr>
              <w:rFonts w:hint="default" w:ascii="Times New Roman" w:hAnsi="Times New Roman" w:eastAsia="仿宋" w:cs="Times New Roman"/>
              <w:bCs w:val="0"/>
              <w:sz w:val="24"/>
              <w:szCs w:val="24"/>
              <w:highlight w:val="none"/>
              <w:lang w:eastAsia="zh-CN"/>
            </w:rPr>
            <w:t>财政拨款“三公”经费支出决算表</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_Toc25862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36</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keepNext w:val="0"/>
            <w:keepLines w:val="0"/>
            <w:pageBreakBefore w:val="0"/>
            <w:kinsoku/>
            <w:wordWrap/>
            <w:overflowPunct/>
            <w:topLinePunct w:val="0"/>
            <w:autoSpaceDE/>
            <w:autoSpaceDN/>
            <w:bidi w:val="0"/>
            <w:adjustRightInd/>
            <w:snapToGrid/>
            <w:spacing w:line="380" w:lineRule="exact"/>
            <w:textAlignment w:val="auto"/>
            <w:rPr>
              <w:rFonts w:hint="default" w:ascii="Times New Roman" w:hAnsi="Times New Roman" w:cs="Times New Roman"/>
            </w:rPr>
          </w:pPr>
          <w:r>
            <w:rPr>
              <w:rFonts w:hint="default" w:ascii="Times New Roman" w:hAnsi="Times New Roman" w:cs="Times New Roman"/>
              <w:b/>
              <w:sz w:val="24"/>
              <w:szCs w:val="24"/>
            </w:rPr>
            <w:fldChar w:fldCharType="end"/>
          </w:r>
        </w:p>
      </w:sdtContent>
    </w:sdt>
    <w:p>
      <w:pPr>
        <w:pStyle w:val="3"/>
        <w:pageBreakBefore w:val="0"/>
        <w:kinsoku/>
        <w:wordWrap/>
        <w:overflowPunct/>
        <w:topLinePunct w:val="0"/>
        <w:bidi w:val="0"/>
        <w:spacing w:line="540" w:lineRule="exact"/>
        <w:jc w:val="center"/>
        <w:textAlignment w:val="auto"/>
        <w:rPr>
          <w:rFonts w:hint="default" w:ascii="Times New Roman" w:hAnsi="Times New Roman" w:eastAsia="黑体" w:cs="Times New Roman"/>
          <w:color w:val="auto"/>
          <w:sz w:val="32"/>
          <w:szCs w:val="32"/>
          <w:highlight w:val="none"/>
        </w:rPr>
      </w:pPr>
      <w:bookmarkStart w:id="16" w:name="_Toc18520"/>
      <w:r>
        <w:rPr>
          <w:rFonts w:hint="default" w:ascii="Times New Roman" w:hAnsi="Times New Roman" w:eastAsia="黑体" w:cs="Times New Roman"/>
          <w:b w:val="0"/>
          <w:color w:val="auto"/>
          <w:highlight w:val="none"/>
        </w:rPr>
        <w:t xml:space="preserve">第一部分 </w:t>
      </w:r>
      <w:r>
        <w:rPr>
          <w:rStyle w:val="28"/>
          <w:rFonts w:hint="default" w:ascii="Times New Roman" w:hAnsi="Times New Roman" w:eastAsia="黑体" w:cs="Times New Roman"/>
          <w:b w:val="0"/>
          <w:bCs w:val="0"/>
          <w:color w:val="auto"/>
          <w:highlight w:val="none"/>
        </w:rPr>
        <w:t>部门概况</w:t>
      </w:r>
      <w:bookmarkEnd w:id="14"/>
      <w:bookmarkEnd w:id="15"/>
      <w:bookmarkEnd w:id="16"/>
    </w:p>
    <w:p>
      <w:pPr>
        <w:pageBreakBefore w:val="0"/>
        <w:kinsoku/>
        <w:wordWrap/>
        <w:overflowPunct/>
        <w:topLinePunct w:val="0"/>
        <w:bidi w:val="0"/>
        <w:spacing w:line="540" w:lineRule="exact"/>
        <w:ind w:firstLine="640" w:firstLineChars="200"/>
        <w:textAlignment w:val="auto"/>
        <w:rPr>
          <w:rFonts w:hint="default" w:ascii="Times New Roman" w:hAnsi="Times New Roman" w:eastAsia="黑体" w:cs="Times New Roman"/>
          <w:sz w:val="32"/>
          <w:szCs w:val="32"/>
          <w:lang w:eastAsia="zh-CN"/>
        </w:rPr>
      </w:pPr>
      <w:bookmarkStart w:id="17" w:name="_Toc15377197"/>
      <w:bookmarkStart w:id="18" w:name="_Toc15396600"/>
      <w:bookmarkStart w:id="19" w:name="_Toc7397"/>
      <w:r>
        <w:rPr>
          <w:rFonts w:hint="default" w:ascii="Times New Roman" w:hAnsi="Times New Roman" w:eastAsia="黑体" w:cs="Times New Roman"/>
          <w:sz w:val="32"/>
          <w:szCs w:val="32"/>
        </w:rPr>
        <w:t>一、</w:t>
      </w:r>
      <w:bookmarkEnd w:id="17"/>
      <w:bookmarkEnd w:id="18"/>
      <w:r>
        <w:rPr>
          <w:rFonts w:hint="default" w:ascii="Times New Roman" w:hAnsi="Times New Roman" w:eastAsia="黑体" w:cs="Times New Roman"/>
          <w:sz w:val="32"/>
          <w:szCs w:val="32"/>
          <w:lang w:eastAsia="zh-CN"/>
        </w:rPr>
        <w:t>部门职责</w:t>
      </w:r>
      <w:bookmarkEnd w:id="19"/>
    </w:p>
    <w:p>
      <w:pPr>
        <w:pageBreakBefore w:val="0"/>
        <w:kinsoku/>
        <w:wordWrap/>
        <w:overflowPunct/>
        <w:topLinePunct w:val="0"/>
        <w:bidi w:val="0"/>
        <w:spacing w:line="540" w:lineRule="exact"/>
        <w:ind w:firstLine="643" w:firstLineChars="200"/>
        <w:textAlignment w:val="auto"/>
        <w:rPr>
          <w:rFonts w:hint="default" w:ascii="Times New Roman" w:hAnsi="Times New Roman" w:eastAsia="仿宋" w:cs="Times New Roman"/>
          <w:b/>
          <w:bCs/>
          <w:sz w:val="32"/>
          <w:szCs w:val="32"/>
          <w:lang w:eastAsia="zh-CN"/>
        </w:rPr>
      </w:pPr>
      <w:r>
        <w:rPr>
          <w:rFonts w:hint="default" w:ascii="Times New Roman" w:hAnsi="Times New Roman" w:eastAsia="仿宋" w:cs="Times New Roman"/>
          <w:b/>
          <w:bCs/>
          <w:sz w:val="32"/>
          <w:szCs w:val="32"/>
          <w:lang w:eastAsia="zh-CN"/>
        </w:rPr>
        <w:t>市委史志办</w:t>
      </w:r>
      <w:r>
        <w:rPr>
          <w:rFonts w:hint="default" w:ascii="Times New Roman" w:hAnsi="Times New Roman" w:eastAsia="仿宋" w:cs="Times New Roman"/>
          <w:b/>
          <w:bCs/>
          <w:sz w:val="32"/>
          <w:szCs w:val="32"/>
        </w:rPr>
        <w:t>职</w:t>
      </w:r>
      <w:r>
        <w:rPr>
          <w:rFonts w:hint="default" w:ascii="Times New Roman" w:hAnsi="Times New Roman" w:eastAsia="仿宋" w:cs="Times New Roman"/>
          <w:b/>
          <w:bCs/>
          <w:sz w:val="32"/>
          <w:szCs w:val="32"/>
          <w:lang w:eastAsia="zh-CN"/>
        </w:rPr>
        <w:t>责：</w:t>
      </w:r>
    </w:p>
    <w:p>
      <w:pPr>
        <w:pageBreakBefore w:val="0"/>
        <w:kinsoku/>
        <w:wordWrap/>
        <w:overflowPunct/>
        <w:topLinePunct w:val="0"/>
        <w:bidi w:val="0"/>
        <w:spacing w:line="540" w:lineRule="exact"/>
        <w:ind w:firstLine="640" w:firstLineChars="200"/>
        <w:textAlignment w:val="auto"/>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贯彻落实中央、省关于党史、地方志工作的方针政策，负责督促检查</w:t>
      </w:r>
      <w:r>
        <w:rPr>
          <w:rFonts w:hint="default" w:ascii="Times New Roman" w:hAnsi="Times New Roman" w:eastAsia="仿宋" w:cs="Times New Roman"/>
          <w:bCs/>
          <w:kern w:val="0"/>
          <w:sz w:val="32"/>
          <w:szCs w:val="32"/>
          <w:lang w:eastAsia="zh-CN"/>
        </w:rPr>
        <w:t>辖区内</w:t>
      </w:r>
      <w:r>
        <w:rPr>
          <w:rFonts w:hint="default" w:ascii="Times New Roman" w:hAnsi="Times New Roman" w:eastAsia="仿宋" w:cs="Times New Roman"/>
          <w:bCs/>
          <w:kern w:val="0"/>
          <w:sz w:val="32"/>
          <w:szCs w:val="32"/>
        </w:rPr>
        <w:t>各地对中央、省、市关于党史、地方志工作方针、政策的贯彻落实；</w:t>
      </w:r>
    </w:p>
    <w:p>
      <w:pPr>
        <w:pageBreakBefore w:val="0"/>
        <w:kinsoku/>
        <w:wordWrap/>
        <w:overflowPunct/>
        <w:topLinePunct w:val="0"/>
        <w:bidi w:val="0"/>
        <w:spacing w:line="540" w:lineRule="exact"/>
        <w:ind w:firstLine="640" w:firstLineChars="200"/>
        <w:textAlignment w:val="auto"/>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组织指导全市党史、地方志的资料征集、编纂、研究工作；负责市委地方党史和党领导巴中人民进行革命、建设和改革开放、</w:t>
      </w:r>
      <w:r>
        <w:rPr>
          <w:rFonts w:hint="eastAsia" w:eastAsia="仿宋" w:cs="Times New Roman"/>
          <w:bCs/>
          <w:kern w:val="0"/>
          <w:sz w:val="32"/>
          <w:szCs w:val="32"/>
          <w:lang w:eastAsia="zh-CN"/>
        </w:rPr>
        <w:t>全面建成小康社会</w:t>
      </w:r>
      <w:r>
        <w:rPr>
          <w:rFonts w:hint="default" w:ascii="Times New Roman" w:hAnsi="Times New Roman" w:eastAsia="仿宋" w:cs="Times New Roman"/>
          <w:bCs/>
          <w:kern w:val="0"/>
          <w:sz w:val="32"/>
          <w:szCs w:val="32"/>
        </w:rPr>
        <w:t>历史的编写；</w:t>
      </w:r>
    </w:p>
    <w:p>
      <w:pPr>
        <w:pageBreakBefore w:val="0"/>
        <w:kinsoku/>
        <w:wordWrap/>
        <w:overflowPunct/>
        <w:topLinePunct w:val="0"/>
        <w:bidi w:val="0"/>
        <w:spacing w:line="540" w:lineRule="exact"/>
        <w:ind w:firstLine="640" w:firstLineChars="200"/>
        <w:textAlignment w:val="auto"/>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指导市级部门和各县（区）党史部门，完成重要专题史编写，为各级党委、政府决策提供依据；</w:t>
      </w:r>
    </w:p>
    <w:p>
      <w:pPr>
        <w:pageBreakBefore w:val="0"/>
        <w:kinsoku/>
        <w:wordWrap/>
        <w:overflowPunct/>
        <w:topLinePunct w:val="0"/>
        <w:bidi w:val="0"/>
        <w:spacing w:line="540" w:lineRule="exact"/>
        <w:ind w:firstLine="640" w:firstLineChars="200"/>
        <w:textAlignment w:val="auto"/>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承担市本级志的编纂、审定、出版；</w:t>
      </w:r>
    </w:p>
    <w:p>
      <w:pPr>
        <w:pageBreakBefore w:val="0"/>
        <w:kinsoku/>
        <w:wordWrap/>
        <w:overflowPunct/>
        <w:topLinePunct w:val="0"/>
        <w:bidi w:val="0"/>
        <w:spacing w:line="540" w:lineRule="exact"/>
        <w:ind w:firstLine="640" w:firstLineChars="200"/>
        <w:textAlignment w:val="auto"/>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负责指导县（区）志、事业（部门）志编纂工作；</w:t>
      </w:r>
    </w:p>
    <w:p>
      <w:pPr>
        <w:pageBreakBefore w:val="0"/>
        <w:kinsoku/>
        <w:wordWrap/>
        <w:overflowPunct/>
        <w:topLinePunct w:val="0"/>
        <w:bidi w:val="0"/>
        <w:spacing w:line="540" w:lineRule="exact"/>
        <w:ind w:firstLine="640" w:firstLineChars="200"/>
        <w:textAlignment w:val="auto"/>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承担市综合年鉴的编纂工作，指导市内各种年鉴的编纂工作；</w:t>
      </w:r>
    </w:p>
    <w:p>
      <w:pPr>
        <w:pageBreakBefore w:val="0"/>
        <w:kinsoku/>
        <w:wordWrap/>
        <w:overflowPunct/>
        <w:topLinePunct w:val="0"/>
        <w:bidi w:val="0"/>
        <w:spacing w:line="540" w:lineRule="exact"/>
        <w:ind w:firstLine="640" w:firstLineChars="200"/>
        <w:textAlignment w:val="auto"/>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负责党史、方志成果转化工作。组织拍摄党史、方志题材影视作品，创作党史、方志题材文学作品，开辟革命胜迹、历史遗迹游览景点，组织党史、方志宣传教育工作；</w:t>
      </w:r>
    </w:p>
    <w:p>
      <w:pPr>
        <w:pageBreakBefore w:val="0"/>
        <w:kinsoku/>
        <w:wordWrap/>
        <w:overflowPunct/>
        <w:topLinePunct w:val="0"/>
        <w:bidi w:val="0"/>
        <w:spacing w:line="540" w:lineRule="exact"/>
        <w:ind w:firstLine="640" w:firstLineChars="200"/>
        <w:textAlignment w:val="auto"/>
        <w:rPr>
          <w:rFonts w:hint="default" w:ascii="Times New Roman" w:hAnsi="Times New Roman" w:eastAsia="仿宋" w:cs="Times New Roman"/>
          <w:bCs/>
          <w:kern w:val="0"/>
          <w:sz w:val="32"/>
          <w:szCs w:val="32"/>
          <w:lang w:eastAsia="zh-CN"/>
        </w:rPr>
      </w:pPr>
      <w:r>
        <w:rPr>
          <w:rFonts w:hint="default" w:ascii="Times New Roman" w:hAnsi="Times New Roman" w:eastAsia="仿宋" w:cs="Times New Roman"/>
          <w:bCs/>
          <w:kern w:val="0"/>
          <w:sz w:val="32"/>
          <w:szCs w:val="32"/>
        </w:rPr>
        <w:t>负责党史、地方志理论研究和行业协会管理工作</w:t>
      </w:r>
      <w:r>
        <w:rPr>
          <w:rFonts w:hint="default" w:ascii="Times New Roman" w:hAnsi="Times New Roman" w:eastAsia="仿宋" w:cs="Times New Roman"/>
          <w:bCs/>
          <w:kern w:val="0"/>
          <w:sz w:val="32"/>
          <w:szCs w:val="32"/>
          <w:lang w:eastAsia="zh-CN"/>
        </w:rPr>
        <w:t>；</w:t>
      </w:r>
    </w:p>
    <w:p>
      <w:pPr>
        <w:pageBreakBefore w:val="0"/>
        <w:kinsoku/>
        <w:wordWrap/>
        <w:overflowPunct/>
        <w:topLinePunct w:val="0"/>
        <w:bidi w:val="0"/>
        <w:spacing w:line="540" w:lineRule="exact"/>
        <w:ind w:firstLine="640" w:firstLineChars="200"/>
        <w:textAlignment w:val="auto"/>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主办相关学术刊物，组织党史、方志学术交流和业务培训，负责党史、方志部门干部培训和专业技术职务评审推荐工作；</w:t>
      </w:r>
    </w:p>
    <w:p>
      <w:pPr>
        <w:pageBreakBefore w:val="0"/>
        <w:kinsoku/>
        <w:wordWrap/>
        <w:overflowPunct/>
        <w:topLinePunct w:val="0"/>
        <w:bidi w:val="0"/>
        <w:spacing w:line="540" w:lineRule="exact"/>
        <w:ind w:firstLine="640" w:firstLineChars="200"/>
        <w:textAlignment w:val="auto"/>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负责全市地情资料收集编写、审读管理、出版发行工作，为各级政府和社会各界提供地情咨询；</w:t>
      </w:r>
    </w:p>
    <w:p>
      <w:pPr>
        <w:pageBreakBefore w:val="0"/>
        <w:kinsoku/>
        <w:wordWrap/>
        <w:overflowPunct/>
        <w:topLinePunct w:val="0"/>
        <w:bidi w:val="0"/>
        <w:spacing w:line="540" w:lineRule="exact"/>
        <w:ind w:firstLine="640" w:firstLineChars="200"/>
        <w:textAlignment w:val="auto"/>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负责建设管理巴中市史志馆，收集、整理、研究史志资料，并向社会提供服务；</w:t>
      </w:r>
    </w:p>
    <w:p>
      <w:pPr>
        <w:pageBreakBefore w:val="0"/>
        <w:kinsoku/>
        <w:wordWrap/>
        <w:overflowPunct/>
        <w:topLinePunct w:val="0"/>
        <w:bidi w:val="0"/>
        <w:spacing w:line="540" w:lineRule="exact"/>
        <w:ind w:firstLine="640" w:firstLineChars="200"/>
        <w:textAlignment w:val="auto"/>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参与革命遗址保护建设、参与历史文化、民俗文化、红色旅游的规划鉴定工作；</w:t>
      </w:r>
    </w:p>
    <w:p>
      <w:pPr>
        <w:pageBreakBefore w:val="0"/>
        <w:kinsoku/>
        <w:wordWrap/>
        <w:overflowPunct/>
        <w:topLinePunct w:val="0"/>
        <w:bidi w:val="0"/>
        <w:spacing w:line="540" w:lineRule="exact"/>
        <w:ind w:firstLine="640" w:firstLineChars="200"/>
        <w:textAlignment w:val="auto"/>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负责市委、市政府交办的其它工作。</w:t>
      </w:r>
      <w:bookmarkStart w:id="20" w:name="_Toc15396601"/>
      <w:bookmarkStart w:id="21" w:name="_Toc15377200"/>
      <w:bookmarkStart w:id="22" w:name="_Toc30462"/>
    </w:p>
    <w:p>
      <w:pPr>
        <w:pageBreakBefore w:val="0"/>
        <w:kinsoku/>
        <w:wordWrap/>
        <w:overflowPunct/>
        <w:topLinePunct w:val="0"/>
        <w:bidi w:val="0"/>
        <w:spacing w:line="540" w:lineRule="exact"/>
        <w:ind w:firstLine="640" w:firstLineChars="200"/>
        <w:textAlignment w:val="auto"/>
        <w:rPr>
          <w:rStyle w:val="29"/>
          <w:rFonts w:hint="default" w:ascii="Times New Roman" w:hAnsi="Times New Roman" w:cs="Times New Roman"/>
          <w:b w:val="0"/>
          <w:bCs w:val="0"/>
          <w:color w:val="auto"/>
          <w:sz w:val="32"/>
          <w:szCs w:val="32"/>
          <w:highlight w:val="none"/>
        </w:rPr>
      </w:pPr>
      <w:r>
        <w:rPr>
          <w:rFonts w:hint="default" w:ascii="Times New Roman" w:hAnsi="Times New Roman" w:eastAsia="黑体" w:cs="Times New Roman"/>
          <w:b w:val="0"/>
          <w:color w:val="auto"/>
          <w:sz w:val="32"/>
          <w:szCs w:val="32"/>
          <w:highlight w:val="none"/>
        </w:rPr>
        <w:t>二、机</w:t>
      </w:r>
      <w:r>
        <w:rPr>
          <w:rStyle w:val="29"/>
          <w:rFonts w:hint="default" w:ascii="Times New Roman" w:hAnsi="Times New Roman" w:eastAsia="黑体" w:cs="Times New Roman"/>
          <w:b w:val="0"/>
          <w:bCs w:val="0"/>
          <w:color w:val="auto"/>
          <w:sz w:val="32"/>
          <w:szCs w:val="32"/>
          <w:highlight w:val="none"/>
        </w:rPr>
        <w:t>构设置</w:t>
      </w:r>
      <w:bookmarkEnd w:id="20"/>
      <w:bookmarkEnd w:id="21"/>
      <w:bookmarkEnd w:id="22"/>
    </w:p>
    <w:p>
      <w:pPr>
        <w:pageBreakBefore w:val="0"/>
        <w:kinsoku/>
        <w:wordWrap/>
        <w:overflowPunct/>
        <w:topLinePunct w:val="0"/>
        <w:bidi w:val="0"/>
        <w:spacing w:line="540" w:lineRule="exact"/>
        <w:ind w:firstLine="800" w:firstLineChars="25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市委史志办</w:t>
      </w:r>
      <w:r>
        <w:rPr>
          <w:rFonts w:hint="default" w:ascii="Times New Roman" w:hAnsi="Times New Roman" w:eastAsia="仿宋" w:cs="Times New Roman"/>
          <w:color w:val="auto"/>
          <w:sz w:val="32"/>
          <w:szCs w:val="32"/>
          <w:highlight w:val="none"/>
        </w:rPr>
        <w:t>下属二级</w:t>
      </w:r>
      <w:r>
        <w:rPr>
          <w:rFonts w:hint="default" w:ascii="Times New Roman" w:hAnsi="Times New Roman" w:eastAsia="仿宋" w:cs="Times New Roman"/>
          <w:color w:val="auto"/>
          <w:sz w:val="32"/>
          <w:szCs w:val="32"/>
          <w:highlight w:val="none"/>
          <w:lang w:eastAsia="zh-CN"/>
        </w:rPr>
        <w:t>预算</w:t>
      </w:r>
      <w:r>
        <w:rPr>
          <w:rFonts w:hint="default" w:ascii="Times New Roman" w:hAnsi="Times New Roman" w:eastAsia="仿宋" w:cs="Times New Roman"/>
          <w:color w:val="auto"/>
          <w:sz w:val="32"/>
          <w:szCs w:val="32"/>
          <w:highlight w:val="none"/>
        </w:rPr>
        <w:t>单位</w:t>
      </w:r>
      <w:r>
        <w:rPr>
          <w:rFonts w:hint="default" w:ascii="Times New Roman" w:hAnsi="Times New Roman" w:eastAsia="仿宋" w:cs="Times New Roman"/>
          <w:color w:val="auto"/>
          <w:sz w:val="32"/>
          <w:szCs w:val="32"/>
          <w:highlight w:val="none"/>
          <w:lang w:val="en-US" w:eastAsia="zh-CN"/>
        </w:rPr>
        <w:t>1</w:t>
      </w:r>
      <w:r>
        <w:rPr>
          <w:rFonts w:hint="default" w:ascii="Times New Roman" w:hAnsi="Times New Roman" w:eastAsia="仿宋" w:cs="Times New Roman"/>
          <w:color w:val="auto"/>
          <w:sz w:val="32"/>
          <w:szCs w:val="32"/>
          <w:highlight w:val="none"/>
        </w:rPr>
        <w:t>个，其中行政单位</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个，参照公务员法管理的事业单</w:t>
      </w:r>
      <w:r>
        <w:rPr>
          <w:rFonts w:hint="default" w:ascii="Times New Roman" w:hAnsi="Times New Roman" w:eastAsia="仿宋" w:cs="Times New Roman"/>
          <w:color w:val="auto"/>
          <w:sz w:val="32"/>
          <w:szCs w:val="32"/>
          <w:highlight w:val="none"/>
          <w:lang w:eastAsia="zh-CN"/>
        </w:rPr>
        <w:t>位</w:t>
      </w:r>
      <w:r>
        <w:rPr>
          <w:rFonts w:hint="default" w:ascii="Times New Roman" w:hAnsi="Times New Roman" w:eastAsia="仿宋" w:cs="Times New Roman"/>
          <w:color w:val="auto"/>
          <w:sz w:val="32"/>
          <w:szCs w:val="32"/>
          <w:highlight w:val="none"/>
          <w:lang w:val="en-US" w:eastAsia="zh-CN"/>
        </w:rPr>
        <w:t>1</w:t>
      </w:r>
      <w:r>
        <w:rPr>
          <w:rFonts w:hint="default" w:ascii="Times New Roman" w:hAnsi="Times New Roman" w:eastAsia="仿宋" w:cs="Times New Roman"/>
          <w:color w:val="auto"/>
          <w:sz w:val="32"/>
          <w:szCs w:val="32"/>
          <w:highlight w:val="none"/>
        </w:rPr>
        <w:t>个，其他事业单位</w:t>
      </w:r>
      <w:r>
        <w:rPr>
          <w:rFonts w:hint="default" w:ascii="Times New Roman" w:hAnsi="Times New Roman" w:eastAsia="仿宋" w:cs="Times New Roman"/>
          <w:color w:val="auto"/>
          <w:sz w:val="32"/>
          <w:szCs w:val="32"/>
          <w:highlight w:val="none"/>
          <w:lang w:val="en-US" w:eastAsia="zh-CN"/>
        </w:rPr>
        <w:t>1</w:t>
      </w:r>
      <w:r>
        <w:rPr>
          <w:rFonts w:hint="default" w:ascii="Times New Roman" w:hAnsi="Times New Roman" w:eastAsia="仿宋" w:cs="Times New Roman"/>
          <w:color w:val="auto"/>
          <w:sz w:val="32"/>
          <w:szCs w:val="32"/>
          <w:highlight w:val="none"/>
        </w:rPr>
        <w:t>个。</w:t>
      </w:r>
    </w:p>
    <w:p>
      <w:pPr>
        <w:pStyle w:val="2"/>
        <w:pageBreakBefore w:val="0"/>
        <w:kinsoku/>
        <w:wordWrap/>
        <w:overflowPunct/>
        <w:topLinePunct w:val="0"/>
        <w:bidi w:val="0"/>
        <w:adjustRightInd w:val="0"/>
        <w:snapToGrid w:val="0"/>
        <w:spacing w:before="93" w:line="540" w:lineRule="exact"/>
        <w:ind w:firstLine="672" w:firstLineChars="21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纳入</w:t>
      </w:r>
      <w:r>
        <w:rPr>
          <w:rFonts w:hint="default" w:ascii="Times New Roman" w:hAnsi="Times New Roman" w:eastAsia="仿宋" w:cs="Times New Roman"/>
          <w:color w:val="auto"/>
          <w:sz w:val="32"/>
          <w:szCs w:val="32"/>
          <w:highlight w:val="none"/>
          <w:lang w:eastAsia="zh-CN"/>
        </w:rPr>
        <w:t>市委史志办</w:t>
      </w: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22</w:t>
      </w:r>
      <w:r>
        <w:rPr>
          <w:rFonts w:hint="default" w:ascii="Times New Roman" w:hAnsi="Times New Roman" w:eastAsia="仿宋" w:cs="Times New Roman"/>
          <w:color w:val="auto"/>
          <w:sz w:val="32"/>
          <w:szCs w:val="32"/>
          <w:highlight w:val="none"/>
        </w:rPr>
        <w:t>年度部门决算编制范围的二级预算单位包括：</w:t>
      </w:r>
      <w:bookmarkStart w:id="23" w:name="_Toc15377433"/>
      <w:bookmarkStart w:id="24" w:name="_Toc15378449"/>
      <w:bookmarkStart w:id="25" w:name="_Toc15306276"/>
      <w:bookmarkStart w:id="26" w:name="_Toc15377202"/>
    </w:p>
    <w:p>
      <w:pPr>
        <w:pStyle w:val="2"/>
        <w:pageBreakBefore w:val="0"/>
        <w:kinsoku/>
        <w:wordWrap/>
        <w:overflowPunct/>
        <w:topLinePunct w:val="0"/>
        <w:bidi w:val="0"/>
        <w:adjustRightInd w:val="0"/>
        <w:snapToGrid w:val="0"/>
        <w:spacing w:before="93" w:line="540" w:lineRule="exact"/>
        <w:ind w:firstLine="672" w:firstLineChars="210"/>
        <w:textAlignment w:val="auto"/>
        <w:rPr>
          <w:rFonts w:hint="default" w:ascii="Times New Roman" w:hAnsi="Times New Roman" w:eastAsia="仿宋" w:cs="Times New Roman"/>
          <w:color w:val="auto"/>
          <w:kern w:val="0"/>
          <w:sz w:val="32"/>
          <w:szCs w:val="32"/>
          <w:highlight w:val="none"/>
        </w:rPr>
      </w:pPr>
      <w:r>
        <w:rPr>
          <w:rFonts w:hint="default" w:ascii="Times New Roman" w:hAnsi="Times New Roman" w:eastAsia="仿宋" w:cs="Times New Roman"/>
          <w:color w:val="auto"/>
          <w:sz w:val="32"/>
          <w:szCs w:val="32"/>
          <w:highlight w:val="none"/>
          <w:lang w:val="en-US" w:eastAsia="zh-CN"/>
        </w:rPr>
        <w:t>1</w:t>
      </w:r>
      <w:r>
        <w:rPr>
          <w:rFonts w:hint="default" w:ascii="Times New Roman" w:hAnsi="Times New Roman" w:eastAsia="仿宋" w:cs="Times New Roman"/>
          <w:color w:val="auto"/>
          <w:sz w:val="32"/>
          <w:szCs w:val="32"/>
          <w:highlight w:val="none"/>
          <w:lang w:val="en" w:eastAsia="zh-CN"/>
        </w:rPr>
        <w:t>.</w:t>
      </w:r>
      <w:r>
        <w:rPr>
          <w:rFonts w:hint="default" w:ascii="Times New Roman" w:hAnsi="Times New Roman" w:eastAsia="仿宋" w:cs="Times New Roman"/>
          <w:color w:val="auto"/>
          <w:sz w:val="32"/>
          <w:szCs w:val="32"/>
          <w:highlight w:val="none"/>
          <w:lang w:eastAsia="zh-CN"/>
        </w:rPr>
        <w:t>巴</w:t>
      </w:r>
      <w:bookmarkEnd w:id="23"/>
      <w:bookmarkEnd w:id="24"/>
      <w:bookmarkEnd w:id="25"/>
      <w:bookmarkEnd w:id="26"/>
      <w:r>
        <w:rPr>
          <w:rFonts w:hint="default" w:ascii="Times New Roman" w:hAnsi="Times New Roman" w:eastAsia="仿宋" w:cs="Times New Roman"/>
          <w:color w:val="auto"/>
          <w:sz w:val="32"/>
          <w:szCs w:val="32"/>
          <w:highlight w:val="none"/>
          <w:lang w:eastAsia="zh-CN"/>
        </w:rPr>
        <w:t>中市史志馆</w:t>
      </w:r>
      <w:r>
        <w:rPr>
          <w:rFonts w:hint="default" w:ascii="Times New Roman" w:hAnsi="Times New Roman" w:eastAsia="仿宋" w:cs="Times New Roman"/>
          <w:color w:val="auto"/>
          <w:sz w:val="32"/>
          <w:szCs w:val="32"/>
          <w:highlight w:val="none"/>
        </w:rPr>
        <w:br w:type="page"/>
      </w:r>
    </w:p>
    <w:p>
      <w:pPr>
        <w:pStyle w:val="3"/>
        <w:pageBreakBefore w:val="0"/>
        <w:kinsoku/>
        <w:wordWrap/>
        <w:overflowPunct/>
        <w:topLinePunct w:val="0"/>
        <w:bidi w:val="0"/>
        <w:spacing w:line="540" w:lineRule="exact"/>
        <w:ind w:right="440"/>
        <w:jc w:val="center"/>
        <w:textAlignment w:val="auto"/>
        <w:rPr>
          <w:rStyle w:val="28"/>
          <w:rFonts w:hint="default" w:ascii="Times New Roman" w:hAnsi="Times New Roman" w:eastAsia="黑体" w:cs="Times New Roman"/>
          <w:b w:val="0"/>
          <w:bCs/>
          <w:color w:val="auto"/>
          <w:highlight w:val="none"/>
        </w:rPr>
      </w:pPr>
      <w:bookmarkStart w:id="27" w:name="_Toc13386"/>
      <w:bookmarkStart w:id="28" w:name="_Toc15396602"/>
      <w:bookmarkStart w:id="29" w:name="_Toc15377204"/>
      <w:r>
        <w:rPr>
          <w:rFonts w:hint="default" w:ascii="Times New Roman" w:hAnsi="Times New Roman" w:eastAsia="黑体" w:cs="Times New Roman"/>
          <w:b w:val="0"/>
          <w:bCs/>
          <w:color w:val="auto"/>
          <w:highlight w:val="none"/>
        </w:rPr>
        <w:t xml:space="preserve">第二部分 </w:t>
      </w:r>
      <w:r>
        <w:rPr>
          <w:rFonts w:hint="default" w:ascii="Times New Roman" w:hAnsi="Times New Roman" w:eastAsia="黑体" w:cs="Times New Roman"/>
          <w:b w:val="0"/>
          <w:bCs/>
          <w:color w:val="auto"/>
          <w:highlight w:val="none"/>
          <w:lang w:val="en-US" w:eastAsia="zh-CN"/>
        </w:rPr>
        <w:t>2022年度</w:t>
      </w:r>
      <w:r>
        <w:rPr>
          <w:rStyle w:val="28"/>
          <w:rFonts w:hint="default" w:ascii="Times New Roman" w:hAnsi="Times New Roman" w:eastAsia="黑体" w:cs="Times New Roman"/>
          <w:b w:val="0"/>
          <w:bCs/>
          <w:color w:val="auto"/>
          <w:highlight w:val="none"/>
        </w:rPr>
        <w:t>部门决算情况说明</w:t>
      </w:r>
      <w:bookmarkEnd w:id="27"/>
      <w:bookmarkEnd w:id="28"/>
      <w:bookmarkEnd w:id="29"/>
    </w:p>
    <w:p>
      <w:pPr>
        <w:pageBreakBefore w:val="0"/>
        <w:kinsoku/>
        <w:wordWrap/>
        <w:overflowPunct/>
        <w:topLinePunct w:val="0"/>
        <w:bidi w:val="0"/>
        <w:spacing w:line="540" w:lineRule="exact"/>
        <w:textAlignment w:val="auto"/>
        <w:rPr>
          <w:rFonts w:hint="default" w:ascii="Times New Roman" w:hAnsi="Times New Roman" w:cs="Times New Roman"/>
          <w:color w:val="auto"/>
          <w:highlight w:val="none"/>
        </w:rPr>
      </w:pPr>
    </w:p>
    <w:p>
      <w:pPr>
        <w:pStyle w:val="27"/>
        <w:pageBreakBefore w:val="0"/>
        <w:numPr>
          <w:ilvl w:val="0"/>
          <w:numId w:val="0"/>
        </w:numPr>
        <w:kinsoku/>
        <w:wordWrap/>
        <w:overflowPunct/>
        <w:topLinePunct w:val="0"/>
        <w:bidi w:val="0"/>
        <w:spacing w:line="540" w:lineRule="exact"/>
        <w:ind w:firstLine="640" w:firstLineChars="200"/>
        <w:textAlignment w:val="auto"/>
        <w:outlineLvl w:val="1"/>
        <w:rPr>
          <w:rStyle w:val="29"/>
          <w:rFonts w:hint="default" w:ascii="Times New Roman" w:hAnsi="Times New Roman" w:eastAsia="黑体" w:cs="Times New Roman"/>
          <w:b w:val="0"/>
          <w:color w:val="auto"/>
          <w:highlight w:val="none"/>
        </w:rPr>
      </w:pPr>
      <w:bookmarkStart w:id="30" w:name="_Toc15396603"/>
      <w:bookmarkStart w:id="31" w:name="_Toc30653"/>
      <w:bookmarkStart w:id="32" w:name="_Toc15377205"/>
      <w:r>
        <w:rPr>
          <w:rFonts w:hint="default" w:ascii="Times New Roman" w:hAnsi="Times New Roman"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收</w:t>
      </w:r>
      <w:r>
        <w:rPr>
          <w:rStyle w:val="29"/>
          <w:rFonts w:hint="default" w:ascii="Times New Roman" w:hAnsi="Times New Roman" w:eastAsia="黑体" w:cs="Times New Roman"/>
          <w:b w:val="0"/>
          <w:color w:val="auto"/>
          <w:highlight w:val="none"/>
        </w:rPr>
        <w:t>入支出决算总体情况说明</w:t>
      </w:r>
      <w:bookmarkEnd w:id="30"/>
      <w:bookmarkEnd w:id="31"/>
      <w:bookmarkEnd w:id="32"/>
    </w:p>
    <w:p>
      <w:pPr>
        <w:pageBreakBefore w:val="0"/>
        <w:kinsoku/>
        <w:wordWrap/>
        <w:overflowPunct/>
        <w:topLinePunct w:val="0"/>
        <w:bidi w:val="0"/>
        <w:spacing w:line="54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22</w:t>
      </w:r>
      <w:r>
        <w:rPr>
          <w:rFonts w:hint="default" w:ascii="Times New Roman" w:hAnsi="Times New Roman" w:eastAsia="仿宋" w:cs="Times New Roman"/>
          <w:color w:val="auto"/>
          <w:sz w:val="32"/>
          <w:szCs w:val="32"/>
          <w:highlight w:val="none"/>
        </w:rPr>
        <w:t>年度收、支总计</w:t>
      </w:r>
      <w:r>
        <w:rPr>
          <w:rFonts w:hint="default" w:ascii="Times New Roman" w:hAnsi="Times New Roman" w:eastAsia="仿宋" w:cs="Times New Roman"/>
          <w:color w:val="auto"/>
          <w:sz w:val="32"/>
          <w:szCs w:val="32"/>
          <w:highlight w:val="none"/>
          <w:lang w:val="en-US" w:eastAsia="zh-CN"/>
        </w:rPr>
        <w:t>378.52</w:t>
      </w:r>
      <w:r>
        <w:rPr>
          <w:rFonts w:hint="default" w:ascii="Times New Roman" w:hAnsi="Times New Roman" w:eastAsia="仿宋" w:cs="Times New Roman"/>
          <w:color w:val="auto"/>
          <w:sz w:val="32"/>
          <w:szCs w:val="32"/>
          <w:highlight w:val="none"/>
        </w:rPr>
        <w:t>万元。与20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年相比，收、支总计各减少</w:t>
      </w:r>
      <w:r>
        <w:rPr>
          <w:rFonts w:hint="default" w:ascii="Times New Roman" w:hAnsi="Times New Roman" w:eastAsia="仿宋" w:cs="Times New Roman"/>
          <w:color w:val="auto"/>
          <w:sz w:val="32"/>
          <w:szCs w:val="32"/>
          <w:highlight w:val="none"/>
          <w:lang w:val="en-US" w:eastAsia="zh-CN"/>
        </w:rPr>
        <w:t>2.61</w:t>
      </w:r>
      <w:r>
        <w:rPr>
          <w:rFonts w:hint="default" w:ascii="Times New Roman" w:hAnsi="Times New Roman" w:eastAsia="仿宋" w:cs="Times New Roman"/>
          <w:color w:val="auto"/>
          <w:sz w:val="32"/>
          <w:szCs w:val="32"/>
          <w:highlight w:val="none"/>
        </w:rPr>
        <w:t>万元，下降</w:t>
      </w:r>
      <w:r>
        <w:rPr>
          <w:rFonts w:hint="default" w:ascii="Times New Roman" w:hAnsi="Times New Roman" w:eastAsia="仿宋" w:cs="Times New Roman"/>
          <w:color w:val="auto"/>
          <w:sz w:val="32"/>
          <w:szCs w:val="32"/>
          <w:highlight w:val="none"/>
          <w:lang w:val="en-US" w:eastAsia="zh-CN"/>
        </w:rPr>
        <w:t>0.68</w:t>
      </w:r>
      <w:r>
        <w:rPr>
          <w:rFonts w:hint="default" w:ascii="Times New Roman" w:hAnsi="Times New Roman" w:eastAsia="仿宋" w:cs="Times New Roman"/>
          <w:color w:val="auto"/>
          <w:sz w:val="32"/>
          <w:szCs w:val="32"/>
          <w:highlight w:val="none"/>
        </w:rPr>
        <w:t>%。主要变动原因是</w:t>
      </w:r>
      <w:r>
        <w:rPr>
          <w:rFonts w:hint="default" w:ascii="Times New Roman" w:hAnsi="Times New Roman" w:eastAsia="仿宋" w:cs="Times New Roman"/>
          <w:color w:val="auto"/>
          <w:sz w:val="32"/>
          <w:szCs w:val="32"/>
          <w:highlight w:val="none"/>
          <w:lang w:eastAsia="zh-CN"/>
        </w:rPr>
        <w:t>本年度人员减少，工资保险公积金等相应减少。</w:t>
      </w:r>
    </w:p>
    <w:p>
      <w:pPr>
        <w:pageBreakBefore w:val="0"/>
        <w:kinsoku/>
        <w:wordWrap/>
        <w:overflowPunct/>
        <w:topLinePunct w:val="0"/>
        <w:bidi w:val="0"/>
        <w:spacing w:line="54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（图1：收、支决算总计变动情况图）（柱状图）</w:t>
      </w:r>
    </w:p>
    <w:p>
      <w:pPr>
        <w:pStyle w:val="2"/>
        <w:rPr>
          <w:rFonts w:hint="default"/>
          <w:lang w:eastAsia="zh-CN"/>
        </w:rPr>
      </w:pPr>
    </w:p>
    <w:p>
      <w:pPr>
        <w:rPr>
          <w:rFonts w:hint="default" w:ascii="Times New Roman" w:hAnsi="Times New Roman" w:eastAsia="仿宋" w:cs="Times New Roman"/>
          <w:color w:val="auto"/>
          <w:sz w:val="32"/>
          <w:szCs w:val="32"/>
          <w:highlight w:val="none"/>
        </w:rPr>
      </w:pPr>
    </w:p>
    <w:p>
      <w:pPr>
        <w:pStyle w:val="2"/>
        <w:rPr>
          <w:rFonts w:hint="default" w:ascii="Times New Roman" w:hAnsi="Times New Roman" w:eastAsia="仿宋" w:cs="Times New Roman"/>
          <w:color w:val="auto"/>
          <w:sz w:val="32"/>
          <w:szCs w:val="32"/>
          <w:highlight w:val="none"/>
        </w:rPr>
      </w:pPr>
    </w:p>
    <w:p>
      <w:pPr>
        <w:pStyle w:val="12"/>
        <w:rPr>
          <w:rFonts w:hint="default"/>
        </w:rPr>
      </w:pPr>
    </w:p>
    <w:p>
      <w:pPr>
        <w:pStyle w:val="2"/>
        <w:rPr>
          <w:rFonts w:hint="default" w:ascii="Times New Roman" w:hAnsi="Times New Roman" w:eastAsia="仿宋" w:cs="Times New Roman"/>
          <w:color w:val="auto"/>
          <w:sz w:val="32"/>
          <w:szCs w:val="32"/>
          <w:highlight w:val="none"/>
        </w:rPr>
      </w:pPr>
    </w:p>
    <w:p>
      <w:pPr>
        <w:pStyle w:val="12"/>
        <w:rPr>
          <w:rFonts w:hint="default" w:ascii="Times New Roman" w:hAnsi="Times New Roman" w:eastAsia="仿宋" w:cs="Times New Roman"/>
          <w:color w:val="auto"/>
          <w:sz w:val="32"/>
          <w:szCs w:val="32"/>
          <w:highlight w:val="none"/>
        </w:rPr>
      </w:pPr>
    </w:p>
    <w:p>
      <w:pPr>
        <w:rPr>
          <w:rFonts w:hint="default"/>
        </w:rPr>
      </w:pPr>
    </w:p>
    <w:p>
      <w:pPr>
        <w:pStyle w:val="2"/>
        <w:pageBreakBefore w:val="0"/>
        <w:kinsoku/>
        <w:wordWrap/>
        <w:overflowPunct/>
        <w:topLinePunct w:val="0"/>
        <w:bidi w:val="0"/>
        <w:spacing w:line="540" w:lineRule="exact"/>
        <w:jc w:val="center"/>
        <w:textAlignment w:val="auto"/>
        <w:rPr>
          <w:rFonts w:hint="default" w:ascii="Times New Roman" w:hAnsi="Times New Roman" w:cs="Times New Roman"/>
        </w:rPr>
      </w:pPr>
      <w:r>
        <w:rPr>
          <w:rFonts w:hint="default" w:ascii="Times New Roman" w:hAnsi="Times New Roman" w:eastAsia="仿宋" w:cs="Times New Roman"/>
          <w:lang w:eastAsia="zh-CN"/>
        </w:rPr>
        <w:drawing>
          <wp:anchor distT="0" distB="0" distL="114300" distR="114300" simplePos="0" relativeHeight="251659264" behindDoc="1" locked="0" layoutInCell="1" allowOverlap="1">
            <wp:simplePos x="0" y="0"/>
            <wp:positionH relativeFrom="column">
              <wp:posOffset>384175</wp:posOffset>
            </wp:positionH>
            <wp:positionV relativeFrom="page">
              <wp:posOffset>4038600</wp:posOffset>
            </wp:positionV>
            <wp:extent cx="4830445" cy="2410460"/>
            <wp:effectExtent l="5080" t="4445" r="22225" b="23495"/>
            <wp:wrapTight wrapText="bothSides">
              <wp:wrapPolygon>
                <wp:start x="-23" y="-40"/>
                <wp:lineTo x="-23" y="21469"/>
                <wp:lineTo x="21529" y="21469"/>
                <wp:lineTo x="21529" y="-40"/>
                <wp:lineTo x="-23" y="-40"/>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ageBreakBefore w:val="0"/>
        <w:kinsoku/>
        <w:wordWrap/>
        <w:overflowPunct/>
        <w:topLinePunct w:val="0"/>
        <w:bidi w:val="0"/>
        <w:spacing w:line="540" w:lineRule="exact"/>
        <w:ind w:firstLine="640" w:firstLineChars="200"/>
        <w:jc w:val="left"/>
        <w:textAlignment w:val="auto"/>
        <w:rPr>
          <w:rFonts w:hint="default" w:ascii="Times New Roman" w:hAnsi="Times New Roman" w:eastAsia="仿宋_GB2312" w:cs="Times New Roman"/>
          <w:color w:val="auto"/>
          <w:sz w:val="32"/>
          <w:szCs w:val="32"/>
          <w:highlight w:val="none"/>
        </w:rPr>
      </w:pPr>
    </w:p>
    <w:p>
      <w:pPr>
        <w:pStyle w:val="27"/>
        <w:pageBreakBefore w:val="0"/>
        <w:numPr>
          <w:ilvl w:val="0"/>
          <w:numId w:val="0"/>
        </w:numPr>
        <w:kinsoku/>
        <w:wordWrap/>
        <w:overflowPunct/>
        <w:topLinePunct w:val="0"/>
        <w:bidi w:val="0"/>
        <w:spacing w:line="540" w:lineRule="exact"/>
        <w:ind w:left="640" w:leftChars="0"/>
        <w:textAlignment w:val="auto"/>
        <w:outlineLvl w:val="1"/>
        <w:rPr>
          <w:rStyle w:val="29"/>
          <w:rFonts w:hint="default" w:ascii="Times New Roman" w:hAnsi="Times New Roman" w:eastAsia="黑体" w:cs="Times New Roman"/>
          <w:b w:val="0"/>
          <w:color w:val="auto"/>
          <w:highlight w:val="none"/>
        </w:rPr>
      </w:pPr>
      <w:bookmarkStart w:id="33" w:name="_Toc15396604"/>
      <w:bookmarkStart w:id="34" w:name="_Toc15377206"/>
      <w:bookmarkStart w:id="35" w:name="_Toc25008"/>
      <w:r>
        <w:rPr>
          <w:rFonts w:hint="default" w:ascii="Times New Roman" w:hAnsi="Times New Roman" w:eastAsia="黑体" w:cs="Times New Roman"/>
          <w:color w:val="auto"/>
          <w:sz w:val="32"/>
          <w:szCs w:val="32"/>
          <w:highlight w:val="none"/>
          <w:lang w:eastAsia="zh-CN"/>
        </w:rPr>
        <w:t>二、</w:t>
      </w:r>
      <w:r>
        <w:rPr>
          <w:rFonts w:hint="default" w:ascii="Times New Roman" w:hAnsi="Times New Roman" w:eastAsia="黑体" w:cs="Times New Roman"/>
          <w:color w:val="auto"/>
          <w:sz w:val="32"/>
          <w:szCs w:val="32"/>
          <w:highlight w:val="none"/>
        </w:rPr>
        <w:t>收</w:t>
      </w:r>
      <w:r>
        <w:rPr>
          <w:rStyle w:val="29"/>
          <w:rFonts w:hint="default" w:ascii="Times New Roman" w:hAnsi="Times New Roman" w:eastAsia="黑体" w:cs="Times New Roman"/>
          <w:b w:val="0"/>
          <w:color w:val="auto"/>
          <w:highlight w:val="none"/>
        </w:rPr>
        <w:t>入决算情况说明</w:t>
      </w:r>
      <w:bookmarkEnd w:id="33"/>
      <w:bookmarkEnd w:id="34"/>
      <w:bookmarkEnd w:id="35"/>
    </w:p>
    <w:p>
      <w:pPr>
        <w:pageBreakBefore w:val="0"/>
        <w:kinsoku/>
        <w:wordWrap/>
        <w:overflowPunct/>
        <w:topLinePunct w:val="0"/>
        <w:bidi w:val="0"/>
        <w:spacing w:line="540" w:lineRule="exact"/>
        <w:ind w:firstLine="640" w:firstLineChars="200"/>
        <w:textAlignment w:val="auto"/>
        <w:outlineLvl w:val="1"/>
        <w:rPr>
          <w:rFonts w:hint="default" w:ascii="Times New Roman" w:hAnsi="Times New Roman" w:eastAsia="仿宋" w:cs="Times New Roman"/>
          <w:color w:val="auto"/>
          <w:sz w:val="32"/>
          <w:szCs w:val="32"/>
          <w:highlight w:val="none"/>
        </w:rPr>
      </w:pPr>
      <w:bookmarkStart w:id="36" w:name="_Toc4707"/>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22</w:t>
      </w:r>
      <w:r>
        <w:rPr>
          <w:rFonts w:hint="default" w:ascii="Times New Roman" w:hAnsi="Times New Roman" w:eastAsia="仿宋" w:cs="Times New Roman"/>
          <w:color w:val="auto"/>
          <w:sz w:val="32"/>
          <w:szCs w:val="32"/>
          <w:highlight w:val="none"/>
        </w:rPr>
        <w:t>年本年收入合计</w:t>
      </w:r>
      <w:r>
        <w:rPr>
          <w:rFonts w:hint="default" w:ascii="Times New Roman" w:hAnsi="Times New Roman" w:eastAsia="仿宋" w:cs="Times New Roman"/>
          <w:color w:val="auto"/>
          <w:sz w:val="32"/>
          <w:szCs w:val="32"/>
          <w:highlight w:val="none"/>
          <w:lang w:val="en-US" w:eastAsia="zh-CN"/>
        </w:rPr>
        <w:t>378.52</w:t>
      </w:r>
      <w:r>
        <w:rPr>
          <w:rFonts w:hint="default" w:ascii="Times New Roman" w:hAnsi="Times New Roman" w:eastAsia="仿宋" w:cs="Times New Roman"/>
          <w:color w:val="auto"/>
          <w:sz w:val="32"/>
          <w:szCs w:val="32"/>
          <w:highlight w:val="none"/>
        </w:rPr>
        <w:t>万元，其中：一般公共预算财政拨款收入</w:t>
      </w:r>
      <w:r>
        <w:rPr>
          <w:rFonts w:hint="default" w:ascii="Times New Roman" w:hAnsi="Times New Roman" w:eastAsia="仿宋" w:cs="Times New Roman"/>
          <w:color w:val="auto"/>
          <w:sz w:val="32"/>
          <w:szCs w:val="32"/>
          <w:highlight w:val="none"/>
          <w:lang w:val="en-US" w:eastAsia="zh-CN"/>
        </w:rPr>
        <w:t>378.52</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%；政府性基金预算财政拨款收入</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eastAsia="zh-CN"/>
        </w:rPr>
        <w:t>国有资本经营预算财政拨款收入</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%；上级补助收入</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%；事业收入</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%；经营收入</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%；附属单位上缴收入</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%；其他收入</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w:t>
      </w:r>
      <w:bookmarkEnd w:id="36"/>
      <w:bookmarkStart w:id="37" w:name="_Toc21079"/>
    </w:p>
    <w:bookmarkEnd w:id="37"/>
    <w:p>
      <w:pPr>
        <w:pageBreakBefore w:val="0"/>
        <w:kinsoku/>
        <w:wordWrap/>
        <w:overflowPunct/>
        <w:topLinePunct w:val="0"/>
        <w:bidi w:val="0"/>
        <w:spacing w:line="540" w:lineRule="exact"/>
        <w:ind w:firstLine="640" w:firstLineChars="200"/>
        <w:textAlignment w:val="auto"/>
        <w:rPr>
          <w:rFonts w:hint="default" w:ascii="Times New Roman" w:hAnsi="Times New Roman" w:eastAsia="仿宋" w:cs="Times New Roman"/>
          <w:color w:val="auto"/>
          <w:sz w:val="32"/>
          <w:szCs w:val="32"/>
          <w:highlight w:val="none"/>
        </w:rPr>
      </w:pPr>
    </w:p>
    <w:p>
      <w:pPr>
        <w:pageBreakBefore w:val="0"/>
        <w:kinsoku/>
        <w:wordWrap/>
        <w:overflowPunct/>
        <w:topLinePunct w:val="0"/>
        <w:bidi w:val="0"/>
        <w:spacing w:line="54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（图2：收入决算结构图）（饼状图）</w:t>
      </w:r>
    </w:p>
    <w:p>
      <w:pPr>
        <w:pStyle w:val="2"/>
        <w:rPr>
          <w:rFonts w:hint="default"/>
        </w:rPr>
      </w:pPr>
    </w:p>
    <w:p>
      <w:pPr>
        <w:pStyle w:val="2"/>
        <w:rPr>
          <w:rFonts w:hint="default" w:ascii="Times New Roman" w:hAnsi="Times New Roman" w:eastAsia="仿宋" w:cs="Times New Roman"/>
          <w:color w:val="auto"/>
          <w:sz w:val="32"/>
          <w:szCs w:val="32"/>
          <w:highlight w:val="none"/>
        </w:rPr>
      </w:pPr>
    </w:p>
    <w:p>
      <w:pPr>
        <w:pStyle w:val="12"/>
        <w:rPr>
          <w:rFonts w:hint="default" w:ascii="Times New Roman" w:hAnsi="Times New Roman" w:eastAsia="仿宋" w:cs="Times New Roman"/>
          <w:color w:val="auto"/>
          <w:sz w:val="32"/>
          <w:szCs w:val="32"/>
          <w:highlight w:val="none"/>
        </w:rPr>
      </w:pPr>
    </w:p>
    <w:p>
      <w:pPr>
        <w:rPr>
          <w:rFonts w:hint="default" w:ascii="Times New Roman" w:hAnsi="Times New Roman" w:eastAsia="仿宋" w:cs="Times New Roman"/>
          <w:color w:val="auto"/>
          <w:sz w:val="32"/>
          <w:szCs w:val="32"/>
          <w:highlight w:val="none"/>
        </w:rPr>
      </w:pPr>
    </w:p>
    <w:p>
      <w:pPr>
        <w:pStyle w:val="2"/>
        <w:rPr>
          <w:rFonts w:hint="default"/>
        </w:rPr>
      </w:pPr>
    </w:p>
    <w:p>
      <w:pPr>
        <w:pStyle w:val="2"/>
        <w:pageBreakBefore w:val="0"/>
        <w:kinsoku/>
        <w:wordWrap/>
        <w:overflowPunct/>
        <w:topLinePunct w:val="0"/>
        <w:bidi w:val="0"/>
        <w:spacing w:line="540" w:lineRule="exact"/>
        <w:jc w:val="center"/>
        <w:textAlignment w:val="auto"/>
        <w:rPr>
          <w:rFonts w:hint="default" w:ascii="Times New Roman" w:hAnsi="Times New Roman" w:cs="Times New Roman"/>
        </w:rPr>
      </w:pPr>
      <w:r>
        <w:rPr>
          <w:rFonts w:hint="default" w:ascii="Times New Roman" w:hAnsi="Times New Roman" w:eastAsia="仿宋" w:cs="Times New Roman"/>
          <w:lang w:eastAsia="zh-CN"/>
        </w:rPr>
        <w:drawing>
          <wp:anchor distT="0" distB="0" distL="114300" distR="114300" simplePos="0" relativeHeight="251660288" behindDoc="1" locked="0" layoutInCell="1" allowOverlap="1">
            <wp:simplePos x="0" y="0"/>
            <wp:positionH relativeFrom="column">
              <wp:posOffset>688340</wp:posOffset>
            </wp:positionH>
            <wp:positionV relativeFrom="paragraph">
              <wp:posOffset>-1909445</wp:posOffset>
            </wp:positionV>
            <wp:extent cx="4231640" cy="2235200"/>
            <wp:effectExtent l="4445" t="4445" r="12065" b="825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rPr>
      </w:pPr>
    </w:p>
    <w:p>
      <w:pPr>
        <w:pStyle w:val="27"/>
        <w:pageBreakBefore w:val="0"/>
        <w:numPr>
          <w:ilvl w:val="0"/>
          <w:numId w:val="0"/>
        </w:numPr>
        <w:kinsoku/>
        <w:wordWrap/>
        <w:overflowPunct/>
        <w:topLinePunct w:val="0"/>
        <w:bidi w:val="0"/>
        <w:spacing w:line="540" w:lineRule="exact"/>
        <w:ind w:left="640" w:leftChars="0"/>
        <w:textAlignment w:val="auto"/>
        <w:outlineLvl w:val="1"/>
        <w:rPr>
          <w:rStyle w:val="29"/>
          <w:rFonts w:hint="default" w:ascii="Times New Roman" w:hAnsi="Times New Roman" w:eastAsia="黑体" w:cs="Times New Roman"/>
          <w:b w:val="0"/>
          <w:color w:val="auto"/>
          <w:highlight w:val="none"/>
        </w:rPr>
      </w:pPr>
      <w:bookmarkStart w:id="38" w:name="_Toc15377207"/>
      <w:bookmarkStart w:id="39" w:name="_Toc834"/>
      <w:bookmarkStart w:id="40" w:name="_Toc15396605"/>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支</w:t>
      </w:r>
      <w:r>
        <w:rPr>
          <w:rStyle w:val="29"/>
          <w:rFonts w:hint="default" w:ascii="Times New Roman" w:hAnsi="Times New Roman" w:eastAsia="黑体" w:cs="Times New Roman"/>
          <w:b w:val="0"/>
          <w:color w:val="auto"/>
          <w:highlight w:val="none"/>
        </w:rPr>
        <w:t>出决算情况说明</w:t>
      </w:r>
      <w:bookmarkEnd w:id="38"/>
      <w:bookmarkEnd w:id="39"/>
      <w:bookmarkEnd w:id="40"/>
    </w:p>
    <w:p>
      <w:pPr>
        <w:pageBreakBefore w:val="0"/>
        <w:kinsoku/>
        <w:wordWrap/>
        <w:overflowPunct/>
        <w:topLinePunct w:val="0"/>
        <w:bidi w:val="0"/>
        <w:spacing w:line="540" w:lineRule="exact"/>
        <w:ind w:firstLine="640" w:firstLineChars="200"/>
        <w:textAlignment w:val="auto"/>
        <w:outlineLvl w:val="1"/>
        <w:rPr>
          <w:rFonts w:hint="default" w:ascii="Times New Roman" w:hAnsi="Times New Roman" w:eastAsia="仿宋" w:cs="Times New Roman"/>
          <w:color w:val="auto"/>
          <w:sz w:val="32"/>
          <w:szCs w:val="32"/>
          <w:highlight w:val="none"/>
        </w:rPr>
      </w:pPr>
      <w:bookmarkStart w:id="41" w:name="_Toc10582"/>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22</w:t>
      </w:r>
      <w:r>
        <w:rPr>
          <w:rFonts w:hint="default" w:ascii="Times New Roman" w:hAnsi="Times New Roman" w:eastAsia="仿宋" w:cs="Times New Roman"/>
          <w:color w:val="auto"/>
          <w:sz w:val="32"/>
          <w:szCs w:val="32"/>
          <w:highlight w:val="none"/>
        </w:rPr>
        <w:t>年本年支出合计</w:t>
      </w:r>
      <w:r>
        <w:rPr>
          <w:rFonts w:hint="default" w:ascii="Times New Roman" w:hAnsi="Times New Roman" w:eastAsia="仿宋" w:cs="Times New Roman"/>
          <w:color w:val="auto"/>
          <w:sz w:val="32"/>
          <w:szCs w:val="32"/>
          <w:highlight w:val="none"/>
          <w:lang w:val="en-US" w:eastAsia="zh-CN"/>
        </w:rPr>
        <w:t>378.52</w:t>
      </w:r>
      <w:r>
        <w:rPr>
          <w:rFonts w:hint="default" w:ascii="Times New Roman" w:hAnsi="Times New Roman" w:eastAsia="仿宋" w:cs="Times New Roman"/>
          <w:color w:val="auto"/>
          <w:sz w:val="32"/>
          <w:szCs w:val="32"/>
          <w:highlight w:val="none"/>
        </w:rPr>
        <w:t>万元，其中：基本支出</w:t>
      </w:r>
      <w:r>
        <w:rPr>
          <w:rFonts w:hint="default" w:ascii="Times New Roman" w:hAnsi="Times New Roman" w:eastAsia="仿宋" w:cs="Times New Roman"/>
          <w:color w:val="auto"/>
          <w:sz w:val="32"/>
          <w:szCs w:val="32"/>
          <w:highlight w:val="none"/>
          <w:lang w:val="en-US" w:eastAsia="zh-CN"/>
        </w:rPr>
        <w:t>329.01</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86.92</w:t>
      </w:r>
      <w:r>
        <w:rPr>
          <w:rFonts w:hint="default" w:ascii="Times New Roman" w:hAnsi="Times New Roman" w:eastAsia="仿宋" w:cs="Times New Roman"/>
          <w:color w:val="auto"/>
          <w:sz w:val="32"/>
          <w:szCs w:val="32"/>
          <w:highlight w:val="none"/>
        </w:rPr>
        <w:t>%；项目支出</w:t>
      </w:r>
      <w:r>
        <w:rPr>
          <w:rFonts w:hint="default" w:ascii="Times New Roman" w:hAnsi="Times New Roman" w:eastAsia="仿宋" w:cs="Times New Roman"/>
          <w:color w:val="auto"/>
          <w:sz w:val="32"/>
          <w:szCs w:val="32"/>
          <w:highlight w:val="none"/>
          <w:lang w:val="en-US" w:eastAsia="zh-CN"/>
        </w:rPr>
        <w:t>49.51</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13.08</w:t>
      </w:r>
      <w:r>
        <w:rPr>
          <w:rFonts w:hint="default" w:ascii="Times New Roman" w:hAnsi="Times New Roman" w:eastAsia="仿宋" w:cs="Times New Roman"/>
          <w:color w:val="auto"/>
          <w:sz w:val="32"/>
          <w:szCs w:val="32"/>
          <w:highlight w:val="none"/>
        </w:rPr>
        <w:t>%；上缴上级支出</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%；经营支出</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%；对附属单位补助支出</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w:t>
      </w:r>
      <w:bookmarkEnd w:id="41"/>
      <w:bookmarkStart w:id="42" w:name="_Toc11021"/>
    </w:p>
    <w:bookmarkEnd w:id="42"/>
    <w:p>
      <w:pPr>
        <w:pageBreakBefore w:val="0"/>
        <w:kinsoku/>
        <w:wordWrap/>
        <w:overflowPunct/>
        <w:topLinePunct w:val="0"/>
        <w:bidi w:val="0"/>
        <w:spacing w:line="54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（图3：支出决算结构图）（饼状图）</w:t>
      </w:r>
    </w:p>
    <w:p>
      <w:pPr>
        <w:pStyle w:val="2"/>
        <w:rPr>
          <w:rFonts w:hint="default"/>
        </w:rPr>
      </w:pPr>
    </w:p>
    <w:p>
      <w:pPr>
        <w:pStyle w:val="2"/>
        <w:rPr>
          <w:rFonts w:hint="default" w:ascii="Times New Roman" w:hAnsi="Times New Roman" w:eastAsia="仿宋" w:cs="Times New Roman"/>
          <w:color w:val="auto"/>
          <w:sz w:val="32"/>
          <w:szCs w:val="32"/>
          <w:highlight w:val="none"/>
        </w:rPr>
      </w:pPr>
    </w:p>
    <w:p>
      <w:pPr>
        <w:pStyle w:val="12"/>
        <w:rPr>
          <w:rFonts w:hint="default" w:ascii="Times New Roman" w:hAnsi="Times New Roman" w:eastAsia="仿宋" w:cs="Times New Roman"/>
          <w:color w:val="auto"/>
          <w:sz w:val="32"/>
          <w:szCs w:val="32"/>
          <w:highlight w:val="none"/>
        </w:rPr>
      </w:pPr>
    </w:p>
    <w:p>
      <w:pPr>
        <w:rPr>
          <w:rFonts w:hint="default" w:ascii="Times New Roman" w:hAnsi="Times New Roman" w:eastAsia="仿宋" w:cs="Times New Roman"/>
          <w:color w:val="auto"/>
          <w:sz w:val="32"/>
          <w:szCs w:val="32"/>
          <w:highlight w:val="none"/>
        </w:rPr>
      </w:pPr>
    </w:p>
    <w:p>
      <w:pPr>
        <w:pStyle w:val="2"/>
        <w:rPr>
          <w:rFonts w:hint="default" w:ascii="Times New Roman" w:hAnsi="Times New Roman" w:eastAsia="仿宋" w:cs="Times New Roman"/>
          <w:color w:val="auto"/>
          <w:sz w:val="32"/>
          <w:szCs w:val="32"/>
          <w:highlight w:val="none"/>
        </w:rPr>
      </w:pPr>
    </w:p>
    <w:p>
      <w:pPr>
        <w:pStyle w:val="12"/>
        <w:rPr>
          <w:rFonts w:hint="default"/>
        </w:rPr>
      </w:pPr>
    </w:p>
    <w:p>
      <w:pPr>
        <w:pStyle w:val="2"/>
        <w:pageBreakBefore w:val="0"/>
        <w:kinsoku/>
        <w:wordWrap/>
        <w:overflowPunct/>
        <w:topLinePunct w:val="0"/>
        <w:bidi w:val="0"/>
        <w:spacing w:line="540" w:lineRule="exact"/>
        <w:jc w:val="center"/>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_GB2312" w:cs="Times New Roman"/>
          <w:lang w:eastAsia="zh-CN"/>
        </w:rPr>
        <w:drawing>
          <wp:anchor distT="0" distB="0" distL="114300" distR="114300" simplePos="0" relativeHeight="251660288" behindDoc="1" locked="0" layoutInCell="1" allowOverlap="1">
            <wp:simplePos x="0" y="0"/>
            <wp:positionH relativeFrom="column">
              <wp:posOffset>593090</wp:posOffset>
            </wp:positionH>
            <wp:positionV relativeFrom="page">
              <wp:posOffset>6689090</wp:posOffset>
            </wp:positionV>
            <wp:extent cx="4420235" cy="2607310"/>
            <wp:effectExtent l="4445" t="4445" r="13970" b="1714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ageBreakBefore w:val="0"/>
        <w:kinsoku/>
        <w:wordWrap/>
        <w:overflowPunct/>
        <w:topLinePunct w:val="0"/>
        <w:bidi w:val="0"/>
        <w:spacing w:line="540" w:lineRule="exact"/>
        <w:ind w:firstLine="640" w:firstLineChars="200"/>
        <w:textAlignment w:val="auto"/>
        <w:outlineLvl w:val="1"/>
        <w:rPr>
          <w:rFonts w:hint="default" w:ascii="Times New Roman" w:hAnsi="Times New Roman" w:eastAsia="黑体" w:cs="Times New Roman"/>
          <w:color w:val="auto"/>
          <w:sz w:val="32"/>
          <w:szCs w:val="32"/>
          <w:highlight w:val="none"/>
        </w:rPr>
      </w:pPr>
      <w:bookmarkStart w:id="43" w:name="_Toc11972"/>
      <w:bookmarkStart w:id="44" w:name="_Toc15396606"/>
      <w:bookmarkStart w:id="45" w:name="_Toc15377208"/>
    </w:p>
    <w:p>
      <w:pPr>
        <w:pageBreakBefore w:val="0"/>
        <w:kinsoku/>
        <w:wordWrap/>
        <w:overflowPunct/>
        <w:topLinePunct w:val="0"/>
        <w:bidi w:val="0"/>
        <w:spacing w:line="540" w:lineRule="exact"/>
        <w:ind w:firstLine="640" w:firstLineChars="200"/>
        <w:textAlignment w:val="auto"/>
        <w:outlineLvl w:val="1"/>
        <w:rPr>
          <w:rStyle w:val="29"/>
          <w:rFonts w:hint="default" w:ascii="Times New Roman" w:hAnsi="Times New Roman" w:eastAsia="黑体" w:cs="Times New Roman"/>
          <w:b w:val="0"/>
          <w:color w:val="auto"/>
          <w:highlight w:val="none"/>
        </w:rPr>
      </w:pPr>
      <w:r>
        <w:rPr>
          <w:rFonts w:hint="default" w:ascii="Times New Roman" w:hAnsi="Times New Roman" w:eastAsia="黑体" w:cs="Times New Roman"/>
          <w:color w:val="auto"/>
          <w:sz w:val="32"/>
          <w:szCs w:val="32"/>
          <w:highlight w:val="none"/>
        </w:rPr>
        <w:t>四、财</w:t>
      </w:r>
      <w:r>
        <w:rPr>
          <w:rStyle w:val="29"/>
          <w:rFonts w:hint="default" w:ascii="Times New Roman" w:hAnsi="Times New Roman" w:eastAsia="黑体" w:cs="Times New Roman"/>
          <w:b w:val="0"/>
          <w:color w:val="auto"/>
          <w:highlight w:val="none"/>
        </w:rPr>
        <w:t>政拨款收入支出决算总体情况说明</w:t>
      </w:r>
      <w:bookmarkEnd w:id="43"/>
      <w:bookmarkEnd w:id="44"/>
      <w:bookmarkEnd w:id="45"/>
    </w:p>
    <w:p>
      <w:pPr>
        <w:pageBreakBefore w:val="0"/>
        <w:kinsoku/>
        <w:wordWrap/>
        <w:overflowPunct/>
        <w:topLinePunct w:val="0"/>
        <w:bidi w:val="0"/>
        <w:spacing w:line="540" w:lineRule="exact"/>
        <w:ind w:firstLine="64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22</w:t>
      </w:r>
      <w:r>
        <w:rPr>
          <w:rFonts w:hint="default" w:ascii="Times New Roman" w:hAnsi="Times New Roman" w:eastAsia="仿宋" w:cs="Times New Roman"/>
          <w:color w:val="auto"/>
          <w:sz w:val="32"/>
          <w:szCs w:val="32"/>
          <w:highlight w:val="none"/>
        </w:rPr>
        <w:t>年财政拨款收、支总计</w:t>
      </w:r>
      <w:r>
        <w:rPr>
          <w:rFonts w:hint="default" w:ascii="Times New Roman" w:hAnsi="Times New Roman" w:eastAsia="仿宋" w:cs="Times New Roman"/>
          <w:color w:val="auto"/>
          <w:sz w:val="32"/>
          <w:szCs w:val="32"/>
          <w:highlight w:val="none"/>
          <w:lang w:val="en-US" w:eastAsia="zh-CN"/>
        </w:rPr>
        <w:t>378.52</w:t>
      </w:r>
      <w:r>
        <w:rPr>
          <w:rFonts w:hint="default" w:ascii="Times New Roman" w:hAnsi="Times New Roman" w:eastAsia="仿宋" w:cs="Times New Roman"/>
          <w:color w:val="auto"/>
          <w:sz w:val="32"/>
          <w:szCs w:val="32"/>
          <w:highlight w:val="none"/>
        </w:rPr>
        <w:t>万元。与20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年相比，财政拨款收、支总计各减少</w:t>
      </w:r>
      <w:r>
        <w:rPr>
          <w:rFonts w:hint="default" w:ascii="Times New Roman" w:hAnsi="Times New Roman" w:eastAsia="仿宋" w:cs="Times New Roman"/>
          <w:color w:val="auto"/>
          <w:sz w:val="32"/>
          <w:szCs w:val="32"/>
          <w:highlight w:val="none"/>
          <w:lang w:val="en-US" w:eastAsia="zh-CN"/>
        </w:rPr>
        <w:t>2.61</w:t>
      </w:r>
      <w:r>
        <w:rPr>
          <w:rFonts w:hint="default" w:ascii="Times New Roman" w:hAnsi="Times New Roman" w:eastAsia="仿宋" w:cs="Times New Roman"/>
          <w:color w:val="auto"/>
          <w:sz w:val="32"/>
          <w:szCs w:val="32"/>
          <w:highlight w:val="none"/>
        </w:rPr>
        <w:t>万元，下降</w:t>
      </w:r>
      <w:r>
        <w:rPr>
          <w:rFonts w:hint="default" w:ascii="Times New Roman" w:hAnsi="Times New Roman" w:eastAsia="仿宋" w:cs="Times New Roman"/>
          <w:color w:val="auto"/>
          <w:sz w:val="32"/>
          <w:szCs w:val="32"/>
          <w:highlight w:val="none"/>
          <w:lang w:val="en-US" w:eastAsia="zh-CN"/>
        </w:rPr>
        <w:t>0.68</w:t>
      </w:r>
      <w:r>
        <w:rPr>
          <w:rFonts w:hint="default" w:ascii="Times New Roman" w:hAnsi="Times New Roman" w:eastAsia="仿宋" w:cs="Times New Roman"/>
          <w:color w:val="auto"/>
          <w:sz w:val="32"/>
          <w:szCs w:val="32"/>
          <w:highlight w:val="none"/>
        </w:rPr>
        <w:t>%。主要变动原因是</w:t>
      </w:r>
      <w:r>
        <w:rPr>
          <w:rFonts w:hint="default" w:ascii="Times New Roman" w:hAnsi="Times New Roman" w:eastAsia="仿宋" w:cs="Times New Roman"/>
          <w:color w:val="auto"/>
          <w:sz w:val="32"/>
          <w:szCs w:val="32"/>
          <w:highlight w:val="none"/>
          <w:lang w:eastAsia="zh-CN"/>
        </w:rPr>
        <w:t>本年度人员减少，工资保险等预算相应减少。</w:t>
      </w:r>
    </w:p>
    <w:p>
      <w:pPr>
        <w:pageBreakBefore w:val="0"/>
        <w:kinsoku/>
        <w:wordWrap/>
        <w:overflowPunct/>
        <w:topLinePunct w:val="0"/>
        <w:bidi w:val="0"/>
        <w:spacing w:line="54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（图4：财政拨款收、支决算总计变动情况）（柱状图）</w:t>
      </w:r>
    </w:p>
    <w:p>
      <w:pPr>
        <w:pStyle w:val="2"/>
        <w:rPr>
          <w:rFonts w:hint="default"/>
        </w:rPr>
      </w:pPr>
    </w:p>
    <w:p>
      <w:pPr>
        <w:pStyle w:val="2"/>
        <w:rPr>
          <w:rFonts w:hint="default"/>
        </w:rPr>
      </w:pPr>
      <w:r>
        <w:rPr>
          <w:rFonts w:hint="default" w:ascii="Times New Roman" w:hAnsi="Times New Roman" w:eastAsia="仿宋" w:cs="Times New Roman"/>
          <w:lang w:eastAsia="zh-CN"/>
        </w:rPr>
        <w:drawing>
          <wp:anchor distT="0" distB="0" distL="114300" distR="114300" simplePos="0" relativeHeight="251660288" behindDoc="0" locked="0" layoutInCell="1" allowOverlap="1">
            <wp:simplePos x="0" y="0"/>
            <wp:positionH relativeFrom="column">
              <wp:posOffset>299720</wp:posOffset>
            </wp:positionH>
            <wp:positionV relativeFrom="page">
              <wp:posOffset>3588385</wp:posOffset>
            </wp:positionV>
            <wp:extent cx="5321300" cy="3128645"/>
            <wp:effectExtent l="4445" t="4445" r="8255" b="1016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pStyle w:val="2"/>
        <w:rPr>
          <w:rFonts w:hint="default"/>
        </w:rPr>
      </w:pPr>
    </w:p>
    <w:p>
      <w:pPr>
        <w:pStyle w:val="2"/>
        <w:rPr>
          <w:rFonts w:hint="default" w:ascii="Times New Roman" w:hAnsi="Times New Roman" w:eastAsia="仿宋" w:cs="Times New Roman"/>
          <w:color w:val="auto"/>
          <w:sz w:val="32"/>
          <w:szCs w:val="32"/>
          <w:highlight w:val="none"/>
        </w:rPr>
      </w:pPr>
    </w:p>
    <w:p>
      <w:pPr>
        <w:pStyle w:val="12"/>
        <w:rPr>
          <w:rFonts w:hint="default" w:ascii="Times New Roman" w:hAnsi="Times New Roman" w:eastAsia="仿宋" w:cs="Times New Roman"/>
          <w:color w:val="auto"/>
          <w:sz w:val="32"/>
          <w:szCs w:val="32"/>
          <w:highlight w:val="none"/>
        </w:rPr>
      </w:pPr>
    </w:p>
    <w:p>
      <w:pPr>
        <w:rPr>
          <w:rFonts w:hint="default" w:ascii="Times New Roman" w:hAnsi="Times New Roman" w:eastAsia="仿宋" w:cs="Times New Roman"/>
          <w:color w:val="auto"/>
          <w:sz w:val="32"/>
          <w:szCs w:val="32"/>
          <w:highlight w:val="none"/>
        </w:rPr>
      </w:pPr>
    </w:p>
    <w:p>
      <w:pPr>
        <w:pStyle w:val="2"/>
        <w:rPr>
          <w:rFonts w:hint="default"/>
        </w:rPr>
      </w:pPr>
    </w:p>
    <w:p>
      <w:pPr>
        <w:pStyle w:val="2"/>
        <w:pageBreakBefore w:val="0"/>
        <w:kinsoku/>
        <w:wordWrap/>
        <w:overflowPunct/>
        <w:topLinePunct w:val="0"/>
        <w:bidi w:val="0"/>
        <w:spacing w:line="540" w:lineRule="exact"/>
        <w:textAlignment w:val="auto"/>
        <w:rPr>
          <w:rFonts w:hint="default" w:ascii="Times New Roman" w:hAnsi="Times New Roman" w:cs="Times New Roman"/>
        </w:rPr>
      </w:pPr>
    </w:p>
    <w:p>
      <w:pPr>
        <w:pageBreakBefore w:val="0"/>
        <w:kinsoku/>
        <w:wordWrap/>
        <w:overflowPunct/>
        <w:topLinePunct w:val="0"/>
        <w:bidi w:val="0"/>
        <w:spacing w:line="540" w:lineRule="exact"/>
        <w:ind w:firstLine="640" w:firstLineChars="200"/>
        <w:textAlignment w:val="auto"/>
        <w:outlineLvl w:val="1"/>
        <w:rPr>
          <w:rFonts w:hint="default" w:ascii="Times New Roman" w:hAnsi="Times New Roman" w:eastAsia="黑体" w:cs="Times New Roman"/>
          <w:color w:val="auto"/>
          <w:sz w:val="32"/>
          <w:szCs w:val="32"/>
          <w:highlight w:val="none"/>
        </w:rPr>
      </w:pPr>
      <w:bookmarkStart w:id="46" w:name="_Toc15396607"/>
      <w:bookmarkStart w:id="47" w:name="_Toc6906"/>
      <w:bookmarkStart w:id="48" w:name="_Toc15377209"/>
    </w:p>
    <w:p>
      <w:pPr>
        <w:pageBreakBefore w:val="0"/>
        <w:kinsoku/>
        <w:wordWrap/>
        <w:overflowPunct/>
        <w:topLinePunct w:val="0"/>
        <w:bidi w:val="0"/>
        <w:spacing w:line="540" w:lineRule="exact"/>
        <w:ind w:firstLine="640" w:firstLineChars="200"/>
        <w:textAlignment w:val="auto"/>
        <w:outlineLvl w:val="1"/>
        <w:rPr>
          <w:rFonts w:hint="default" w:ascii="Times New Roman" w:hAnsi="Times New Roman" w:eastAsia="黑体" w:cs="Times New Roman"/>
          <w:color w:val="auto"/>
          <w:sz w:val="32"/>
          <w:szCs w:val="32"/>
          <w:highlight w:val="none"/>
        </w:rPr>
      </w:pPr>
    </w:p>
    <w:p>
      <w:pPr>
        <w:pageBreakBefore w:val="0"/>
        <w:kinsoku/>
        <w:wordWrap/>
        <w:overflowPunct/>
        <w:topLinePunct w:val="0"/>
        <w:bidi w:val="0"/>
        <w:spacing w:line="540" w:lineRule="exact"/>
        <w:ind w:firstLine="640" w:firstLineChars="200"/>
        <w:textAlignment w:val="auto"/>
        <w:outlineLvl w:val="1"/>
        <w:rPr>
          <w:rStyle w:val="29"/>
          <w:rFonts w:hint="default" w:ascii="Times New Roman" w:hAnsi="Times New Roman" w:eastAsia="黑体" w:cs="Times New Roman"/>
          <w:b w:val="0"/>
          <w:color w:val="auto"/>
          <w:highlight w:val="none"/>
        </w:rPr>
      </w:pPr>
      <w:r>
        <w:rPr>
          <w:rFonts w:hint="default" w:ascii="Times New Roman" w:hAnsi="Times New Roman" w:eastAsia="黑体" w:cs="Times New Roman"/>
          <w:color w:val="auto"/>
          <w:sz w:val="32"/>
          <w:szCs w:val="32"/>
          <w:highlight w:val="none"/>
        </w:rPr>
        <w:t>五、</w:t>
      </w:r>
      <w:r>
        <w:rPr>
          <w:rFonts w:hint="default" w:ascii="Times New Roman" w:hAnsi="Times New Roman" w:eastAsia="黑体" w:cs="Times New Roman"/>
          <w:b/>
          <w:color w:val="auto"/>
          <w:sz w:val="32"/>
          <w:szCs w:val="32"/>
          <w:highlight w:val="none"/>
        </w:rPr>
        <w:t>一</w:t>
      </w:r>
      <w:r>
        <w:rPr>
          <w:rStyle w:val="29"/>
          <w:rFonts w:hint="default" w:ascii="Times New Roman" w:hAnsi="Times New Roman" w:eastAsia="黑体" w:cs="Times New Roman"/>
          <w:b w:val="0"/>
          <w:color w:val="auto"/>
          <w:highlight w:val="none"/>
        </w:rPr>
        <w:t>般公共预算财政拨款支出决算情况说明</w:t>
      </w:r>
      <w:bookmarkEnd w:id="46"/>
      <w:bookmarkEnd w:id="47"/>
      <w:bookmarkEnd w:id="48"/>
    </w:p>
    <w:p>
      <w:pPr>
        <w:pageBreakBefore w:val="0"/>
        <w:kinsoku/>
        <w:wordWrap/>
        <w:overflowPunct/>
        <w:topLinePunct w:val="0"/>
        <w:bidi w:val="0"/>
        <w:spacing w:line="540" w:lineRule="exact"/>
        <w:ind w:firstLine="643" w:firstLineChars="200"/>
        <w:textAlignment w:val="auto"/>
        <w:outlineLvl w:val="2"/>
        <w:rPr>
          <w:rFonts w:hint="default" w:ascii="Times New Roman" w:hAnsi="Times New Roman" w:eastAsia="仿宋" w:cs="Times New Roman"/>
          <w:b/>
          <w:color w:val="auto"/>
          <w:sz w:val="32"/>
          <w:szCs w:val="32"/>
          <w:highlight w:val="none"/>
        </w:rPr>
      </w:pPr>
      <w:bookmarkStart w:id="49" w:name="_Toc15377210"/>
      <w:r>
        <w:rPr>
          <w:rFonts w:hint="default" w:ascii="Times New Roman" w:hAnsi="Times New Roman" w:eastAsia="仿宋" w:cs="Times New Roman"/>
          <w:b/>
          <w:color w:val="auto"/>
          <w:sz w:val="32"/>
          <w:szCs w:val="32"/>
          <w:highlight w:val="none"/>
        </w:rPr>
        <w:t>（一）一般公共预算财政拨款支出决算总体情况</w:t>
      </w:r>
      <w:bookmarkEnd w:id="49"/>
    </w:p>
    <w:p>
      <w:pPr>
        <w:pageBreakBefore w:val="0"/>
        <w:kinsoku/>
        <w:wordWrap/>
        <w:overflowPunct/>
        <w:topLinePunct w:val="0"/>
        <w:bidi w:val="0"/>
        <w:spacing w:line="54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22</w:t>
      </w:r>
      <w:r>
        <w:rPr>
          <w:rFonts w:hint="default" w:ascii="Times New Roman" w:hAnsi="Times New Roman" w:eastAsia="仿宋" w:cs="Times New Roman"/>
          <w:color w:val="auto"/>
          <w:sz w:val="32"/>
          <w:szCs w:val="32"/>
          <w:highlight w:val="none"/>
        </w:rPr>
        <w:t>年一般公共预算财政拨款支出</w:t>
      </w:r>
      <w:r>
        <w:rPr>
          <w:rFonts w:hint="default" w:ascii="Times New Roman" w:hAnsi="Times New Roman" w:eastAsia="仿宋" w:cs="Times New Roman"/>
          <w:color w:val="auto"/>
          <w:sz w:val="32"/>
          <w:szCs w:val="32"/>
          <w:highlight w:val="none"/>
          <w:lang w:val="en-US" w:eastAsia="zh-CN"/>
        </w:rPr>
        <w:t>378.52</w:t>
      </w:r>
      <w:r>
        <w:rPr>
          <w:rFonts w:hint="default" w:ascii="Times New Roman" w:hAnsi="Times New Roman" w:eastAsia="仿宋" w:cs="Times New Roman"/>
          <w:color w:val="auto"/>
          <w:sz w:val="32"/>
          <w:szCs w:val="32"/>
          <w:highlight w:val="none"/>
        </w:rPr>
        <w:t>万元，占本年支出合计的</w:t>
      </w:r>
      <w:r>
        <w:rPr>
          <w:rFonts w:hint="default"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%。与20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年相比，一般公共预算财政拨款</w:t>
      </w:r>
      <w:r>
        <w:rPr>
          <w:rFonts w:hint="default" w:ascii="Times New Roman" w:hAnsi="Times New Roman" w:eastAsia="仿宋" w:cs="Times New Roman"/>
          <w:color w:val="auto"/>
          <w:sz w:val="32"/>
          <w:szCs w:val="32"/>
          <w:highlight w:val="none"/>
          <w:lang w:eastAsia="zh-CN"/>
        </w:rPr>
        <w:t>支出</w:t>
      </w:r>
      <w:r>
        <w:rPr>
          <w:rFonts w:hint="default" w:ascii="Times New Roman" w:hAnsi="Times New Roman" w:eastAsia="仿宋" w:cs="Times New Roman"/>
          <w:color w:val="auto"/>
          <w:sz w:val="32"/>
          <w:szCs w:val="32"/>
          <w:highlight w:val="none"/>
        </w:rPr>
        <w:t>减少</w:t>
      </w:r>
      <w:r>
        <w:rPr>
          <w:rFonts w:hint="default" w:ascii="Times New Roman" w:hAnsi="Times New Roman" w:eastAsia="仿宋" w:cs="Times New Roman"/>
          <w:color w:val="auto"/>
          <w:sz w:val="32"/>
          <w:szCs w:val="32"/>
          <w:highlight w:val="none"/>
          <w:lang w:val="en-US" w:eastAsia="zh-CN"/>
        </w:rPr>
        <w:t>2.61</w:t>
      </w:r>
      <w:r>
        <w:rPr>
          <w:rFonts w:hint="default" w:ascii="Times New Roman" w:hAnsi="Times New Roman" w:eastAsia="仿宋" w:cs="Times New Roman"/>
          <w:color w:val="auto"/>
          <w:sz w:val="32"/>
          <w:szCs w:val="32"/>
          <w:highlight w:val="none"/>
        </w:rPr>
        <w:t>万元，下降</w:t>
      </w:r>
      <w:r>
        <w:rPr>
          <w:rFonts w:hint="default" w:ascii="Times New Roman" w:hAnsi="Times New Roman" w:eastAsia="仿宋" w:cs="Times New Roman"/>
          <w:color w:val="auto"/>
          <w:sz w:val="32"/>
          <w:szCs w:val="32"/>
          <w:highlight w:val="none"/>
          <w:lang w:val="en-US" w:eastAsia="zh-CN"/>
        </w:rPr>
        <w:t>0.68</w:t>
      </w:r>
      <w:r>
        <w:rPr>
          <w:rFonts w:hint="default" w:ascii="Times New Roman" w:hAnsi="Times New Roman" w:eastAsia="仿宋" w:cs="Times New Roman"/>
          <w:color w:val="auto"/>
          <w:sz w:val="32"/>
          <w:szCs w:val="32"/>
          <w:highlight w:val="none"/>
        </w:rPr>
        <w:t>%。主要变动原因是</w:t>
      </w:r>
      <w:r>
        <w:rPr>
          <w:rFonts w:hint="default" w:ascii="Times New Roman" w:hAnsi="Times New Roman" w:eastAsia="仿宋" w:cs="Times New Roman"/>
          <w:color w:val="auto"/>
          <w:sz w:val="32"/>
          <w:szCs w:val="32"/>
          <w:highlight w:val="none"/>
          <w:lang w:eastAsia="zh-CN"/>
        </w:rPr>
        <w:t>本年度人员减少，工资保险等预算相应减少。</w:t>
      </w:r>
    </w:p>
    <w:p>
      <w:pPr>
        <w:pStyle w:val="2"/>
        <w:rPr>
          <w:rFonts w:hint="default"/>
          <w:lang w:eastAsia="zh-CN"/>
        </w:rPr>
      </w:pPr>
    </w:p>
    <w:p>
      <w:pPr>
        <w:pageBreakBefore w:val="0"/>
        <w:kinsoku/>
        <w:wordWrap/>
        <w:overflowPunct/>
        <w:topLinePunct w:val="0"/>
        <w:bidi w:val="0"/>
        <w:spacing w:line="540" w:lineRule="exact"/>
        <w:textAlignment w:val="auto"/>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auto"/>
          <w:sz w:val="32"/>
          <w:szCs w:val="32"/>
          <w:highlight w:val="none"/>
        </w:rPr>
        <w:t>（图5：一般公共预算财政拨款支出决算变动情况）（柱状图）</w:t>
      </w:r>
      <w:r>
        <w:rPr>
          <w:rFonts w:hint="default" w:ascii="Times New Roman" w:hAnsi="Times New Roman" w:eastAsia="仿宋" w:cs="Times New Roman"/>
          <w:color w:val="auto"/>
          <w:sz w:val="32"/>
          <w:szCs w:val="32"/>
          <w:highlight w:val="none"/>
          <w:lang w:eastAsia="zh-CN"/>
        </w:rPr>
        <w:drawing>
          <wp:anchor distT="0" distB="0" distL="114300" distR="114300" simplePos="0" relativeHeight="251661312" behindDoc="0" locked="0" layoutInCell="1" allowOverlap="1">
            <wp:simplePos x="0" y="0"/>
            <wp:positionH relativeFrom="column">
              <wp:posOffset>382270</wp:posOffset>
            </wp:positionH>
            <wp:positionV relativeFrom="paragraph">
              <wp:posOffset>64770</wp:posOffset>
            </wp:positionV>
            <wp:extent cx="5218430" cy="3113405"/>
            <wp:effectExtent l="4445" t="4445" r="15875" b="6350"/>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bookmarkStart w:id="50" w:name="_Toc15377211"/>
    </w:p>
    <w:p>
      <w:pPr>
        <w:pageBreakBefore w:val="0"/>
        <w:kinsoku/>
        <w:wordWrap/>
        <w:overflowPunct/>
        <w:topLinePunct w:val="0"/>
        <w:bidi w:val="0"/>
        <w:spacing w:line="540" w:lineRule="exact"/>
        <w:ind w:firstLine="643" w:firstLineChars="200"/>
        <w:textAlignment w:val="auto"/>
        <w:outlineLvl w:val="2"/>
        <w:rPr>
          <w:rFonts w:hint="default" w:ascii="Times New Roman" w:hAnsi="Times New Roman" w:eastAsia="仿宋" w:cs="Times New Roman"/>
          <w:b/>
          <w:color w:val="auto"/>
          <w:sz w:val="32"/>
          <w:szCs w:val="32"/>
          <w:highlight w:val="none"/>
        </w:rPr>
      </w:pPr>
    </w:p>
    <w:p>
      <w:pPr>
        <w:pageBreakBefore w:val="0"/>
        <w:kinsoku/>
        <w:wordWrap/>
        <w:overflowPunct/>
        <w:topLinePunct w:val="0"/>
        <w:bidi w:val="0"/>
        <w:spacing w:line="540" w:lineRule="exact"/>
        <w:ind w:firstLine="643" w:firstLineChars="200"/>
        <w:textAlignment w:val="auto"/>
        <w:outlineLvl w:val="2"/>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b/>
          <w:color w:val="auto"/>
          <w:sz w:val="32"/>
          <w:szCs w:val="32"/>
          <w:highlight w:val="none"/>
        </w:rPr>
        <w:t>（二）一般公共预算财政拨款支出决算结构情况</w:t>
      </w:r>
      <w:bookmarkEnd w:id="50"/>
    </w:p>
    <w:p>
      <w:pPr>
        <w:pageBreakBefore w:val="0"/>
        <w:kinsoku/>
        <w:wordWrap/>
        <w:overflowPunct/>
        <w:topLinePunct w:val="0"/>
        <w:bidi w:val="0"/>
        <w:spacing w:line="540" w:lineRule="exact"/>
        <w:ind w:firstLine="64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22</w:t>
      </w:r>
      <w:r>
        <w:rPr>
          <w:rFonts w:hint="default" w:ascii="Times New Roman" w:hAnsi="Times New Roman" w:eastAsia="仿宋" w:cs="Times New Roman"/>
          <w:color w:val="auto"/>
          <w:sz w:val="32"/>
          <w:szCs w:val="32"/>
          <w:highlight w:val="none"/>
        </w:rPr>
        <w:t>年一般公共预算财政拨款支出</w:t>
      </w:r>
      <w:r>
        <w:rPr>
          <w:rFonts w:hint="default" w:ascii="Times New Roman" w:hAnsi="Times New Roman" w:eastAsia="仿宋" w:cs="Times New Roman"/>
          <w:color w:val="auto"/>
          <w:sz w:val="32"/>
          <w:szCs w:val="32"/>
          <w:highlight w:val="none"/>
          <w:lang w:val="en-US" w:eastAsia="zh-CN"/>
        </w:rPr>
        <w:t>378.52</w:t>
      </w:r>
      <w:r>
        <w:rPr>
          <w:rFonts w:hint="default" w:ascii="Times New Roman" w:hAnsi="Times New Roman" w:eastAsia="仿宋" w:cs="Times New Roman"/>
          <w:color w:val="auto"/>
          <w:sz w:val="32"/>
          <w:szCs w:val="32"/>
          <w:highlight w:val="none"/>
        </w:rPr>
        <w:t>万元，主要用于以下方面:</w:t>
      </w:r>
      <w:r>
        <w:rPr>
          <w:rFonts w:hint="default" w:ascii="Times New Roman" w:hAnsi="Times New Roman" w:eastAsia="仿宋" w:cs="Times New Roman"/>
          <w:b/>
          <w:color w:val="auto"/>
          <w:sz w:val="32"/>
          <w:szCs w:val="32"/>
          <w:highlight w:val="none"/>
        </w:rPr>
        <w:t>一般公共服务</w:t>
      </w:r>
      <w:r>
        <w:rPr>
          <w:rFonts w:hint="default" w:ascii="Times New Roman" w:hAnsi="Times New Roman" w:eastAsia="仿宋" w:cs="Times New Roman"/>
          <w:b/>
          <w:bCs/>
          <w:color w:val="auto"/>
          <w:sz w:val="32"/>
          <w:szCs w:val="32"/>
          <w:highlight w:val="none"/>
        </w:rPr>
        <w:t>支出</w:t>
      </w:r>
      <w:r>
        <w:rPr>
          <w:rFonts w:hint="default" w:ascii="Times New Roman" w:hAnsi="Times New Roman" w:eastAsia="仿宋" w:cs="Times New Roman"/>
          <w:color w:val="auto"/>
          <w:sz w:val="32"/>
          <w:szCs w:val="32"/>
          <w:highlight w:val="none"/>
          <w:lang w:val="en-US" w:eastAsia="zh-CN"/>
        </w:rPr>
        <w:t>310.3</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81.98</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b/>
          <w:color w:val="auto"/>
          <w:sz w:val="32"/>
          <w:szCs w:val="32"/>
          <w:highlight w:val="none"/>
        </w:rPr>
        <w:t>社会保障和就业</w:t>
      </w:r>
      <w:r>
        <w:rPr>
          <w:rFonts w:hint="default" w:ascii="Times New Roman" w:hAnsi="Times New Roman" w:eastAsia="仿宋" w:cs="Times New Roman"/>
          <w:b/>
          <w:bCs/>
          <w:color w:val="auto"/>
          <w:sz w:val="32"/>
          <w:szCs w:val="32"/>
          <w:highlight w:val="none"/>
        </w:rPr>
        <w:t>支出</w:t>
      </w:r>
      <w:r>
        <w:rPr>
          <w:rFonts w:hint="default" w:ascii="Times New Roman" w:hAnsi="Times New Roman" w:eastAsia="仿宋" w:cs="Times New Roman"/>
          <w:color w:val="auto"/>
          <w:sz w:val="32"/>
          <w:szCs w:val="32"/>
          <w:highlight w:val="none"/>
          <w:lang w:val="en-US" w:eastAsia="zh-CN"/>
        </w:rPr>
        <w:t>26.79</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7.08</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b/>
          <w:bCs/>
          <w:color w:val="auto"/>
          <w:sz w:val="32"/>
          <w:szCs w:val="32"/>
          <w:highlight w:val="none"/>
        </w:rPr>
        <w:t>卫生健康支出</w:t>
      </w:r>
      <w:r>
        <w:rPr>
          <w:rFonts w:hint="default" w:ascii="Times New Roman" w:hAnsi="Times New Roman" w:eastAsia="仿宋" w:cs="Times New Roman"/>
          <w:color w:val="auto"/>
          <w:sz w:val="32"/>
          <w:szCs w:val="32"/>
          <w:highlight w:val="none"/>
          <w:lang w:val="en-US" w:eastAsia="zh-CN"/>
        </w:rPr>
        <w:t>16.78</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4.43</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b/>
          <w:bCs/>
          <w:color w:val="auto"/>
          <w:sz w:val="32"/>
          <w:szCs w:val="32"/>
          <w:highlight w:val="none"/>
        </w:rPr>
        <w:t>住房保障支出</w:t>
      </w:r>
      <w:r>
        <w:rPr>
          <w:rFonts w:hint="default" w:ascii="Times New Roman" w:hAnsi="Times New Roman" w:eastAsia="仿宋" w:cs="Times New Roman"/>
          <w:color w:val="auto"/>
          <w:sz w:val="32"/>
          <w:szCs w:val="32"/>
          <w:highlight w:val="none"/>
          <w:lang w:val="en-US" w:eastAsia="zh-CN"/>
        </w:rPr>
        <w:t>24.65</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6.51</w:t>
      </w:r>
      <w:r>
        <w:rPr>
          <w:rFonts w:hint="default" w:ascii="Times New Roman" w:hAnsi="Times New Roman" w:eastAsia="仿宋" w:cs="Times New Roman"/>
          <w:color w:val="auto"/>
          <w:sz w:val="32"/>
          <w:szCs w:val="32"/>
          <w:highlight w:val="none"/>
        </w:rPr>
        <w:t>%。</w:t>
      </w:r>
    </w:p>
    <w:p>
      <w:pPr>
        <w:rPr>
          <w:rFonts w:hint="default"/>
        </w:rPr>
      </w:pPr>
    </w:p>
    <w:p>
      <w:pPr>
        <w:pageBreakBefore w:val="0"/>
        <w:kinsoku/>
        <w:wordWrap/>
        <w:overflowPunct/>
        <w:topLinePunct w:val="0"/>
        <w:bidi w:val="0"/>
        <w:spacing w:line="54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（图6：一般公共预算财政拨款支出决算结构）（饼状图）</w:t>
      </w:r>
    </w:p>
    <w:p>
      <w:pPr>
        <w:pStyle w:val="2"/>
        <w:rPr>
          <w:rFonts w:hint="default"/>
        </w:rPr>
      </w:pPr>
      <w:r>
        <w:rPr>
          <w:rFonts w:hint="default" w:ascii="Times New Roman" w:hAnsi="Times New Roman" w:eastAsia="仿宋" w:cs="Times New Roman"/>
          <w:color w:val="auto"/>
          <w:sz w:val="32"/>
          <w:szCs w:val="32"/>
          <w:highlight w:val="none"/>
          <w:lang w:eastAsia="zh-CN"/>
        </w:rPr>
        <w:drawing>
          <wp:anchor distT="0" distB="0" distL="114300" distR="114300" simplePos="0" relativeHeight="251661312" behindDoc="1" locked="0" layoutInCell="1" allowOverlap="1">
            <wp:simplePos x="0" y="0"/>
            <wp:positionH relativeFrom="column">
              <wp:posOffset>254000</wp:posOffset>
            </wp:positionH>
            <wp:positionV relativeFrom="paragraph">
              <wp:posOffset>295910</wp:posOffset>
            </wp:positionV>
            <wp:extent cx="5357495" cy="3083560"/>
            <wp:effectExtent l="4445" t="4445" r="10160" b="17145"/>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pStyle w:val="2"/>
        <w:pageBreakBefore w:val="0"/>
        <w:kinsoku/>
        <w:wordWrap/>
        <w:overflowPunct/>
        <w:topLinePunct w:val="0"/>
        <w:bidi w:val="0"/>
        <w:spacing w:line="540" w:lineRule="exact"/>
        <w:textAlignment w:val="auto"/>
        <w:rPr>
          <w:rFonts w:hint="default" w:ascii="Times New Roman" w:hAnsi="Times New Roman" w:eastAsia="仿宋" w:cs="Times New Roman"/>
          <w:color w:val="auto"/>
          <w:sz w:val="32"/>
          <w:szCs w:val="32"/>
          <w:highlight w:val="none"/>
        </w:rPr>
      </w:pPr>
    </w:p>
    <w:p>
      <w:pPr>
        <w:pStyle w:val="2"/>
        <w:pageBreakBefore w:val="0"/>
        <w:kinsoku/>
        <w:wordWrap/>
        <w:overflowPunct/>
        <w:topLinePunct w:val="0"/>
        <w:bidi w:val="0"/>
        <w:spacing w:line="540" w:lineRule="exact"/>
        <w:textAlignment w:val="auto"/>
        <w:rPr>
          <w:rFonts w:hint="default" w:ascii="Times New Roman" w:hAnsi="Times New Roman" w:eastAsia="仿宋" w:cs="Times New Roman"/>
          <w:color w:val="auto"/>
          <w:sz w:val="32"/>
          <w:szCs w:val="32"/>
          <w:highlight w:val="none"/>
        </w:rPr>
      </w:pPr>
    </w:p>
    <w:p>
      <w:pPr>
        <w:pStyle w:val="12"/>
        <w:rPr>
          <w:rFonts w:hint="default" w:ascii="Times New Roman" w:hAnsi="Times New Roman" w:eastAsia="仿宋" w:cs="Times New Roman"/>
          <w:color w:val="auto"/>
          <w:sz w:val="32"/>
          <w:szCs w:val="32"/>
          <w:highlight w:val="none"/>
        </w:rPr>
      </w:pPr>
    </w:p>
    <w:p>
      <w:pPr>
        <w:rPr>
          <w:rFonts w:hint="default"/>
        </w:rPr>
      </w:pPr>
    </w:p>
    <w:p>
      <w:pPr>
        <w:pStyle w:val="2"/>
        <w:pageBreakBefore w:val="0"/>
        <w:kinsoku/>
        <w:wordWrap/>
        <w:overflowPunct/>
        <w:topLinePunct w:val="0"/>
        <w:bidi w:val="0"/>
        <w:spacing w:line="540" w:lineRule="exact"/>
        <w:textAlignment w:val="auto"/>
        <w:rPr>
          <w:rFonts w:hint="default" w:ascii="Times New Roman" w:hAnsi="Times New Roman" w:eastAsia="仿宋" w:cs="Times New Roman"/>
          <w:color w:val="auto"/>
          <w:sz w:val="32"/>
          <w:szCs w:val="32"/>
          <w:highlight w:val="none"/>
        </w:rPr>
      </w:pPr>
    </w:p>
    <w:p>
      <w:pPr>
        <w:pageBreakBefore w:val="0"/>
        <w:kinsoku/>
        <w:wordWrap/>
        <w:overflowPunct/>
        <w:topLinePunct w:val="0"/>
        <w:bidi w:val="0"/>
        <w:spacing w:line="540" w:lineRule="exact"/>
        <w:ind w:firstLine="643" w:firstLineChars="200"/>
        <w:textAlignment w:val="auto"/>
        <w:outlineLvl w:val="2"/>
        <w:rPr>
          <w:rFonts w:hint="default" w:ascii="Times New Roman" w:hAnsi="Times New Roman" w:eastAsia="仿宋" w:cs="Times New Roman"/>
          <w:b/>
          <w:color w:val="auto"/>
          <w:sz w:val="32"/>
          <w:szCs w:val="32"/>
          <w:highlight w:val="none"/>
        </w:rPr>
      </w:pPr>
      <w:bookmarkStart w:id="51" w:name="_Toc15377212"/>
    </w:p>
    <w:p>
      <w:pPr>
        <w:pageBreakBefore w:val="0"/>
        <w:kinsoku/>
        <w:wordWrap/>
        <w:overflowPunct/>
        <w:topLinePunct w:val="0"/>
        <w:bidi w:val="0"/>
        <w:spacing w:line="540" w:lineRule="exact"/>
        <w:ind w:firstLine="643" w:firstLineChars="200"/>
        <w:textAlignment w:val="auto"/>
        <w:outlineLvl w:val="2"/>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b/>
          <w:color w:val="auto"/>
          <w:sz w:val="32"/>
          <w:szCs w:val="32"/>
          <w:highlight w:val="none"/>
        </w:rPr>
        <w:t>（三）一般公共预算财政拨款支出决算具体情况</w:t>
      </w:r>
      <w:bookmarkEnd w:id="51"/>
    </w:p>
    <w:p>
      <w:pPr>
        <w:pageBreakBefore w:val="0"/>
        <w:kinsoku/>
        <w:wordWrap/>
        <w:overflowPunct/>
        <w:topLinePunct w:val="0"/>
        <w:bidi w:val="0"/>
        <w:spacing w:line="540" w:lineRule="exact"/>
        <w:ind w:firstLine="643" w:firstLineChars="200"/>
        <w:textAlignment w:val="auto"/>
        <w:outlineLvl w:val="1"/>
        <w:rPr>
          <w:rFonts w:hint="default" w:ascii="Times New Roman" w:hAnsi="Times New Roman" w:eastAsia="仿宋" w:cs="Times New Roman"/>
          <w:color w:val="auto"/>
          <w:sz w:val="32"/>
          <w:szCs w:val="32"/>
          <w:highlight w:val="none"/>
        </w:rPr>
      </w:pPr>
      <w:bookmarkStart w:id="52" w:name="_Toc15377444"/>
      <w:bookmarkStart w:id="53" w:name="_Toc15378460"/>
      <w:bookmarkStart w:id="54" w:name="_Toc31347"/>
      <w:bookmarkStart w:id="55" w:name="_Toc15377213"/>
      <w:r>
        <w:rPr>
          <w:rFonts w:hint="default" w:ascii="Times New Roman" w:hAnsi="Times New Roman" w:eastAsia="仿宋" w:cs="Times New Roman"/>
          <w:b/>
          <w:color w:val="auto"/>
          <w:sz w:val="32"/>
          <w:szCs w:val="32"/>
          <w:highlight w:val="none"/>
        </w:rPr>
        <w:t>20</w:t>
      </w:r>
      <w:r>
        <w:rPr>
          <w:rFonts w:hint="default" w:ascii="Times New Roman" w:hAnsi="Times New Roman" w:eastAsia="仿宋" w:cs="Times New Roman"/>
          <w:b/>
          <w:color w:val="auto"/>
          <w:sz w:val="32"/>
          <w:szCs w:val="32"/>
          <w:highlight w:val="none"/>
          <w:lang w:val="en-US" w:eastAsia="zh-CN"/>
        </w:rPr>
        <w:t>22</w:t>
      </w:r>
      <w:r>
        <w:rPr>
          <w:rFonts w:hint="default" w:ascii="Times New Roman" w:hAnsi="Times New Roman" w:eastAsia="仿宋" w:cs="Times New Roman"/>
          <w:b/>
          <w:color w:val="auto"/>
          <w:sz w:val="32"/>
          <w:szCs w:val="32"/>
          <w:highlight w:val="none"/>
        </w:rPr>
        <w:t>年</w:t>
      </w:r>
      <w:r>
        <w:rPr>
          <w:rFonts w:hint="default" w:ascii="Times New Roman" w:hAnsi="Times New Roman" w:eastAsia="仿宋" w:cs="Times New Roman"/>
          <w:b/>
          <w:color w:val="auto"/>
          <w:sz w:val="32"/>
          <w:szCs w:val="32"/>
          <w:highlight w:val="none"/>
          <w:lang w:eastAsia="zh-CN"/>
        </w:rPr>
        <w:t>一</w:t>
      </w:r>
      <w:r>
        <w:rPr>
          <w:rFonts w:hint="default" w:ascii="Times New Roman" w:hAnsi="Times New Roman" w:eastAsia="仿宋" w:cs="Times New Roman"/>
          <w:b/>
          <w:color w:val="auto"/>
          <w:sz w:val="32"/>
          <w:szCs w:val="32"/>
          <w:highlight w:val="none"/>
        </w:rPr>
        <w:t>般公共预算支出决算数为</w:t>
      </w:r>
      <w:r>
        <w:rPr>
          <w:rFonts w:hint="default" w:ascii="Times New Roman" w:hAnsi="Times New Roman" w:eastAsia="仿宋" w:cs="Times New Roman"/>
          <w:b/>
          <w:color w:val="auto"/>
          <w:sz w:val="32"/>
          <w:szCs w:val="32"/>
          <w:highlight w:val="none"/>
          <w:lang w:val="en-US" w:eastAsia="zh-CN"/>
        </w:rPr>
        <w:t>378.52</w:t>
      </w:r>
      <w:r>
        <w:rPr>
          <w:rFonts w:hint="eastAsia" w:eastAsia="仿宋" w:cs="Times New Roman"/>
          <w:b/>
          <w:color w:val="auto"/>
          <w:sz w:val="32"/>
          <w:szCs w:val="32"/>
          <w:highlight w:val="none"/>
          <w:lang w:val="en-US" w:eastAsia="zh-CN"/>
        </w:rPr>
        <w:t>万元</w:t>
      </w:r>
      <w:r>
        <w:rPr>
          <w:rFonts w:hint="default" w:ascii="Times New Roman" w:hAnsi="Times New Roman" w:eastAsia="仿宋" w:cs="Times New Roman"/>
          <w:color w:val="auto"/>
          <w:sz w:val="32"/>
          <w:szCs w:val="32"/>
          <w:highlight w:val="none"/>
        </w:rPr>
        <w:t>，</w:t>
      </w:r>
      <w:r>
        <w:rPr>
          <w:rStyle w:val="16"/>
          <w:rFonts w:hint="default" w:ascii="Times New Roman" w:hAnsi="Times New Roman" w:eastAsia="仿宋" w:cs="Times New Roman"/>
          <w:bCs/>
          <w:color w:val="auto"/>
          <w:sz w:val="32"/>
          <w:szCs w:val="32"/>
          <w:highlight w:val="none"/>
        </w:rPr>
        <w:t>完成预算</w:t>
      </w:r>
      <w:r>
        <w:rPr>
          <w:rStyle w:val="16"/>
          <w:rFonts w:hint="default" w:ascii="Times New Roman" w:hAnsi="Times New Roman" w:eastAsia="仿宋" w:cs="Times New Roman"/>
          <w:bCs/>
          <w:color w:val="auto"/>
          <w:sz w:val="32"/>
          <w:szCs w:val="32"/>
          <w:highlight w:val="none"/>
          <w:lang w:val="en-US" w:eastAsia="zh-CN"/>
        </w:rPr>
        <w:t>100</w:t>
      </w:r>
      <w:r>
        <w:rPr>
          <w:rStyle w:val="16"/>
          <w:rFonts w:hint="default" w:ascii="Times New Roman" w:hAnsi="Times New Roman" w:eastAsia="仿宋" w:cs="Times New Roman"/>
          <w:bCs/>
          <w:color w:val="auto"/>
          <w:sz w:val="32"/>
          <w:szCs w:val="32"/>
          <w:highlight w:val="none"/>
        </w:rPr>
        <w:t>%。其中：</w:t>
      </w:r>
      <w:bookmarkEnd w:id="52"/>
      <w:bookmarkEnd w:id="53"/>
      <w:bookmarkEnd w:id="54"/>
      <w:bookmarkEnd w:id="55"/>
    </w:p>
    <w:p>
      <w:pPr>
        <w:pageBreakBefore w:val="0"/>
        <w:kinsoku/>
        <w:wordWrap/>
        <w:overflowPunct/>
        <w:topLinePunct w:val="0"/>
        <w:bidi w:val="0"/>
        <w:spacing w:line="540" w:lineRule="exact"/>
        <w:ind w:firstLine="643" w:firstLineChars="200"/>
        <w:textAlignment w:val="auto"/>
        <w:rPr>
          <w:rStyle w:val="16"/>
          <w:rFonts w:hint="default" w:ascii="Times New Roman" w:hAnsi="Times New Roman" w:eastAsia="仿宋" w:cs="Times New Roman"/>
          <w:b w:val="0"/>
          <w:bCs/>
          <w:color w:val="auto"/>
          <w:sz w:val="32"/>
          <w:szCs w:val="32"/>
          <w:highlight w:val="none"/>
        </w:rPr>
      </w:pPr>
      <w:r>
        <w:rPr>
          <w:rStyle w:val="16"/>
          <w:rFonts w:hint="default" w:ascii="Times New Roman" w:hAnsi="Times New Roman" w:eastAsia="仿宋" w:cs="Times New Roman"/>
          <w:bCs/>
          <w:color w:val="auto"/>
          <w:sz w:val="32"/>
          <w:szCs w:val="32"/>
          <w:highlight w:val="none"/>
        </w:rPr>
        <w:t>1.</w:t>
      </w:r>
      <w:r>
        <w:rPr>
          <w:rStyle w:val="16"/>
          <w:rFonts w:hint="default" w:ascii="Times New Roman" w:hAnsi="Times New Roman" w:eastAsia="仿宋" w:cs="Times New Roman"/>
          <w:b w:val="0"/>
          <w:bCs/>
          <w:color w:val="auto"/>
          <w:sz w:val="32"/>
          <w:szCs w:val="32"/>
          <w:highlight w:val="none"/>
        </w:rPr>
        <w:t>一般公共服务（类）政府办公厅（室）及相关机构事务（款）行政运行（项）: 支出决算为</w:t>
      </w:r>
      <w:r>
        <w:rPr>
          <w:rStyle w:val="16"/>
          <w:rFonts w:hint="default" w:ascii="Times New Roman" w:hAnsi="Times New Roman" w:eastAsia="仿宋" w:cs="Times New Roman"/>
          <w:b w:val="0"/>
          <w:bCs/>
          <w:color w:val="auto"/>
          <w:sz w:val="32"/>
          <w:szCs w:val="32"/>
          <w:highlight w:val="none"/>
          <w:lang w:val="en-US" w:eastAsia="zh-CN"/>
        </w:rPr>
        <w:t>109.46</w:t>
      </w:r>
      <w:r>
        <w:rPr>
          <w:rStyle w:val="16"/>
          <w:rFonts w:hint="default" w:ascii="Times New Roman" w:hAnsi="Times New Roman" w:eastAsia="仿宋" w:cs="Times New Roman"/>
          <w:b w:val="0"/>
          <w:bCs/>
          <w:color w:val="auto"/>
          <w:sz w:val="32"/>
          <w:szCs w:val="32"/>
          <w:highlight w:val="none"/>
        </w:rPr>
        <w:t>万元，完成预算</w:t>
      </w:r>
      <w:r>
        <w:rPr>
          <w:rStyle w:val="16"/>
          <w:rFonts w:hint="default" w:ascii="Times New Roman" w:hAnsi="Times New Roman" w:eastAsia="仿宋" w:cs="Times New Roman"/>
          <w:b w:val="0"/>
          <w:bCs/>
          <w:color w:val="auto"/>
          <w:sz w:val="32"/>
          <w:szCs w:val="32"/>
          <w:highlight w:val="none"/>
          <w:lang w:val="en-US" w:eastAsia="zh-CN"/>
        </w:rPr>
        <w:t>100</w:t>
      </w:r>
      <w:r>
        <w:rPr>
          <w:rStyle w:val="16"/>
          <w:rFonts w:hint="default" w:ascii="Times New Roman" w:hAnsi="Times New Roman" w:eastAsia="仿宋" w:cs="Times New Roman"/>
          <w:b w:val="0"/>
          <w:bCs/>
          <w:color w:val="auto"/>
          <w:sz w:val="32"/>
          <w:szCs w:val="32"/>
          <w:highlight w:val="none"/>
        </w:rPr>
        <w:t>%</w:t>
      </w:r>
      <w:r>
        <w:rPr>
          <w:rStyle w:val="16"/>
          <w:rFonts w:hint="default" w:ascii="Times New Roman" w:hAnsi="Times New Roman" w:eastAsia="仿宋" w:cs="Times New Roman"/>
          <w:b w:val="0"/>
          <w:bCs/>
          <w:color w:val="auto"/>
          <w:sz w:val="32"/>
          <w:szCs w:val="32"/>
          <w:highlight w:val="none"/>
          <w:lang w:eastAsia="zh-CN"/>
        </w:rPr>
        <w:t>；</w:t>
      </w:r>
      <w:r>
        <w:rPr>
          <w:rStyle w:val="16"/>
          <w:rFonts w:hint="default" w:ascii="Times New Roman" w:hAnsi="Times New Roman" w:eastAsia="仿宋" w:cs="Times New Roman"/>
          <w:b w:val="0"/>
          <w:bCs/>
          <w:color w:val="auto"/>
          <w:sz w:val="32"/>
          <w:szCs w:val="32"/>
          <w:highlight w:val="none"/>
        </w:rPr>
        <w:t>一般公共服务（类）政府办公厅（室）及相关机构事务（款）一般行政管理事务（项）: 支出决算为</w:t>
      </w:r>
      <w:r>
        <w:rPr>
          <w:rStyle w:val="16"/>
          <w:rFonts w:hint="default" w:ascii="Times New Roman" w:hAnsi="Times New Roman" w:eastAsia="仿宋" w:cs="Times New Roman"/>
          <w:b w:val="0"/>
          <w:bCs/>
          <w:color w:val="auto"/>
          <w:sz w:val="32"/>
          <w:szCs w:val="32"/>
          <w:highlight w:val="none"/>
          <w:lang w:val="en-US" w:eastAsia="zh-CN"/>
        </w:rPr>
        <w:t>40.69</w:t>
      </w:r>
      <w:r>
        <w:rPr>
          <w:rStyle w:val="16"/>
          <w:rFonts w:hint="default" w:ascii="Times New Roman" w:hAnsi="Times New Roman" w:eastAsia="仿宋" w:cs="Times New Roman"/>
          <w:b w:val="0"/>
          <w:bCs/>
          <w:color w:val="auto"/>
          <w:sz w:val="32"/>
          <w:szCs w:val="32"/>
          <w:highlight w:val="none"/>
        </w:rPr>
        <w:t>万元，完成预算</w:t>
      </w:r>
      <w:r>
        <w:rPr>
          <w:rStyle w:val="16"/>
          <w:rFonts w:hint="default" w:ascii="Times New Roman" w:hAnsi="Times New Roman" w:eastAsia="仿宋" w:cs="Times New Roman"/>
          <w:b w:val="0"/>
          <w:bCs/>
          <w:color w:val="auto"/>
          <w:sz w:val="32"/>
          <w:szCs w:val="32"/>
          <w:highlight w:val="none"/>
          <w:lang w:val="en-US" w:eastAsia="zh-CN"/>
        </w:rPr>
        <w:t>100</w:t>
      </w:r>
      <w:r>
        <w:rPr>
          <w:rStyle w:val="16"/>
          <w:rFonts w:hint="default" w:ascii="Times New Roman" w:hAnsi="Times New Roman" w:eastAsia="仿宋" w:cs="Times New Roman"/>
          <w:b w:val="0"/>
          <w:bCs/>
          <w:color w:val="auto"/>
          <w:sz w:val="32"/>
          <w:szCs w:val="32"/>
          <w:highlight w:val="none"/>
        </w:rPr>
        <w:t>%。一般公共服务（类）政府办公厅（室）及相关机构事务（款）事业运行（项）: 支出决算为</w:t>
      </w:r>
      <w:r>
        <w:rPr>
          <w:rStyle w:val="16"/>
          <w:rFonts w:hint="default" w:ascii="Times New Roman" w:hAnsi="Times New Roman" w:eastAsia="仿宋" w:cs="Times New Roman"/>
          <w:b w:val="0"/>
          <w:bCs/>
          <w:color w:val="auto"/>
          <w:sz w:val="32"/>
          <w:szCs w:val="32"/>
          <w:highlight w:val="none"/>
          <w:lang w:val="en-US" w:eastAsia="zh-CN"/>
        </w:rPr>
        <w:t>56.64</w:t>
      </w:r>
      <w:r>
        <w:rPr>
          <w:rStyle w:val="16"/>
          <w:rFonts w:hint="default" w:ascii="Times New Roman" w:hAnsi="Times New Roman" w:eastAsia="仿宋" w:cs="Times New Roman"/>
          <w:b w:val="0"/>
          <w:bCs/>
          <w:color w:val="auto"/>
          <w:sz w:val="32"/>
          <w:szCs w:val="32"/>
          <w:highlight w:val="none"/>
        </w:rPr>
        <w:t>万元，完成预算</w:t>
      </w:r>
      <w:r>
        <w:rPr>
          <w:rStyle w:val="16"/>
          <w:rFonts w:hint="default" w:ascii="Times New Roman" w:hAnsi="Times New Roman" w:eastAsia="仿宋" w:cs="Times New Roman"/>
          <w:b w:val="0"/>
          <w:bCs/>
          <w:color w:val="auto"/>
          <w:sz w:val="32"/>
          <w:szCs w:val="32"/>
          <w:highlight w:val="none"/>
          <w:lang w:val="en-US" w:eastAsia="zh-CN"/>
        </w:rPr>
        <w:t>100</w:t>
      </w:r>
      <w:r>
        <w:rPr>
          <w:rStyle w:val="16"/>
          <w:rFonts w:hint="default" w:ascii="Times New Roman" w:hAnsi="Times New Roman" w:eastAsia="仿宋" w:cs="Times New Roman"/>
          <w:b w:val="0"/>
          <w:bCs/>
          <w:color w:val="auto"/>
          <w:sz w:val="32"/>
          <w:szCs w:val="32"/>
          <w:highlight w:val="none"/>
        </w:rPr>
        <w:t>%</w:t>
      </w:r>
      <w:r>
        <w:rPr>
          <w:rStyle w:val="16"/>
          <w:rFonts w:hint="default" w:ascii="Times New Roman" w:hAnsi="Times New Roman" w:eastAsia="仿宋" w:cs="Times New Roman"/>
          <w:b w:val="0"/>
          <w:bCs/>
          <w:color w:val="auto"/>
          <w:sz w:val="32"/>
          <w:szCs w:val="32"/>
          <w:highlight w:val="none"/>
          <w:lang w:eastAsia="zh-CN"/>
        </w:rPr>
        <w:t>；</w:t>
      </w:r>
      <w:r>
        <w:rPr>
          <w:rStyle w:val="16"/>
          <w:rFonts w:hint="default" w:ascii="Times New Roman" w:hAnsi="Times New Roman" w:eastAsia="仿宋" w:cs="Times New Roman"/>
          <w:b w:val="0"/>
          <w:bCs/>
          <w:color w:val="auto"/>
          <w:sz w:val="32"/>
          <w:szCs w:val="32"/>
          <w:highlight w:val="none"/>
        </w:rPr>
        <w:t>一般公共服务（类）政府办公厅（室）及相关机构事务（款）其他政府办公厅（室）及相关机构事务支出（项）: 支出决算为</w:t>
      </w:r>
      <w:r>
        <w:rPr>
          <w:rStyle w:val="16"/>
          <w:rFonts w:hint="default" w:ascii="Times New Roman" w:hAnsi="Times New Roman" w:eastAsia="仿宋" w:cs="Times New Roman"/>
          <w:b w:val="0"/>
          <w:bCs/>
          <w:color w:val="auto"/>
          <w:sz w:val="32"/>
          <w:szCs w:val="32"/>
          <w:highlight w:val="none"/>
          <w:lang w:val="en-US" w:eastAsia="zh-CN"/>
        </w:rPr>
        <w:t>4.34</w:t>
      </w:r>
      <w:r>
        <w:rPr>
          <w:rStyle w:val="16"/>
          <w:rFonts w:hint="default" w:ascii="Times New Roman" w:hAnsi="Times New Roman" w:eastAsia="仿宋" w:cs="Times New Roman"/>
          <w:b w:val="0"/>
          <w:bCs/>
          <w:color w:val="auto"/>
          <w:sz w:val="32"/>
          <w:szCs w:val="32"/>
          <w:highlight w:val="none"/>
        </w:rPr>
        <w:t>万元，完成预算</w:t>
      </w:r>
      <w:r>
        <w:rPr>
          <w:rStyle w:val="16"/>
          <w:rFonts w:hint="default" w:ascii="Times New Roman" w:hAnsi="Times New Roman" w:eastAsia="仿宋" w:cs="Times New Roman"/>
          <w:b w:val="0"/>
          <w:bCs/>
          <w:color w:val="auto"/>
          <w:sz w:val="32"/>
          <w:szCs w:val="32"/>
          <w:highlight w:val="none"/>
          <w:lang w:val="en-US" w:eastAsia="zh-CN"/>
        </w:rPr>
        <w:t>100</w:t>
      </w:r>
      <w:r>
        <w:rPr>
          <w:rStyle w:val="16"/>
          <w:rFonts w:hint="default" w:ascii="Times New Roman" w:hAnsi="Times New Roman" w:eastAsia="仿宋" w:cs="Times New Roman"/>
          <w:b w:val="0"/>
          <w:bCs/>
          <w:color w:val="auto"/>
          <w:sz w:val="32"/>
          <w:szCs w:val="32"/>
          <w:highlight w:val="none"/>
        </w:rPr>
        <w:t>%</w:t>
      </w:r>
      <w:r>
        <w:rPr>
          <w:rStyle w:val="16"/>
          <w:rFonts w:hint="default" w:ascii="Times New Roman" w:hAnsi="Times New Roman" w:eastAsia="仿宋" w:cs="Times New Roman"/>
          <w:b w:val="0"/>
          <w:bCs/>
          <w:color w:val="auto"/>
          <w:sz w:val="32"/>
          <w:szCs w:val="32"/>
          <w:highlight w:val="none"/>
          <w:lang w:eastAsia="zh-CN"/>
        </w:rPr>
        <w:t>；</w:t>
      </w:r>
      <w:r>
        <w:rPr>
          <w:rStyle w:val="16"/>
          <w:rFonts w:hint="default" w:ascii="Times New Roman" w:hAnsi="Times New Roman" w:eastAsia="仿宋" w:cs="Times New Roman"/>
          <w:b w:val="0"/>
          <w:bCs/>
          <w:color w:val="auto"/>
          <w:sz w:val="32"/>
          <w:szCs w:val="32"/>
          <w:highlight w:val="none"/>
        </w:rPr>
        <w:t>一般公共服务（类）党委办公厅（室）及相关机构事务（款）行政运行（项）: 支出决算为</w:t>
      </w:r>
      <w:r>
        <w:rPr>
          <w:rStyle w:val="16"/>
          <w:rFonts w:hint="default" w:ascii="Times New Roman" w:hAnsi="Times New Roman" w:eastAsia="仿宋" w:cs="Times New Roman"/>
          <w:b w:val="0"/>
          <w:bCs/>
          <w:color w:val="auto"/>
          <w:sz w:val="32"/>
          <w:szCs w:val="32"/>
          <w:highlight w:val="none"/>
          <w:lang w:val="en-US" w:eastAsia="zh-CN"/>
        </w:rPr>
        <w:t>94.69</w:t>
      </w:r>
      <w:r>
        <w:rPr>
          <w:rStyle w:val="16"/>
          <w:rFonts w:hint="default" w:ascii="Times New Roman" w:hAnsi="Times New Roman" w:eastAsia="仿宋" w:cs="Times New Roman"/>
          <w:b w:val="0"/>
          <w:bCs/>
          <w:color w:val="auto"/>
          <w:sz w:val="32"/>
          <w:szCs w:val="32"/>
          <w:highlight w:val="none"/>
        </w:rPr>
        <w:t>万元，完成预算</w:t>
      </w:r>
      <w:r>
        <w:rPr>
          <w:rStyle w:val="16"/>
          <w:rFonts w:hint="default" w:ascii="Times New Roman" w:hAnsi="Times New Roman" w:eastAsia="仿宋" w:cs="Times New Roman"/>
          <w:b w:val="0"/>
          <w:bCs/>
          <w:color w:val="auto"/>
          <w:sz w:val="32"/>
          <w:szCs w:val="32"/>
          <w:highlight w:val="none"/>
          <w:lang w:val="en-US" w:eastAsia="zh-CN"/>
        </w:rPr>
        <w:t>100</w:t>
      </w:r>
      <w:r>
        <w:rPr>
          <w:rStyle w:val="16"/>
          <w:rFonts w:hint="default" w:ascii="Times New Roman" w:hAnsi="Times New Roman" w:eastAsia="仿宋" w:cs="Times New Roman"/>
          <w:b w:val="0"/>
          <w:bCs/>
          <w:color w:val="auto"/>
          <w:sz w:val="32"/>
          <w:szCs w:val="32"/>
          <w:highlight w:val="none"/>
        </w:rPr>
        <w:t>%</w:t>
      </w:r>
      <w:r>
        <w:rPr>
          <w:rStyle w:val="16"/>
          <w:rFonts w:hint="default" w:ascii="Times New Roman" w:hAnsi="Times New Roman" w:eastAsia="仿宋" w:cs="Times New Roman"/>
          <w:b w:val="0"/>
          <w:bCs/>
          <w:color w:val="auto"/>
          <w:sz w:val="32"/>
          <w:szCs w:val="32"/>
          <w:highlight w:val="none"/>
          <w:lang w:eastAsia="zh-CN"/>
        </w:rPr>
        <w:t>；</w:t>
      </w:r>
      <w:r>
        <w:rPr>
          <w:rStyle w:val="16"/>
          <w:rFonts w:hint="default" w:ascii="Times New Roman" w:hAnsi="Times New Roman" w:eastAsia="仿宋" w:cs="Times New Roman"/>
          <w:b w:val="0"/>
          <w:bCs/>
          <w:color w:val="auto"/>
          <w:sz w:val="32"/>
          <w:szCs w:val="32"/>
          <w:highlight w:val="none"/>
        </w:rPr>
        <w:t>一般公共服务（类）党委办公厅（室）及相关机构事务（款） 一般行政管理事务（项）: 支出决算为</w:t>
      </w:r>
      <w:r>
        <w:rPr>
          <w:rStyle w:val="16"/>
          <w:rFonts w:hint="default" w:ascii="Times New Roman" w:hAnsi="Times New Roman" w:eastAsia="仿宋" w:cs="Times New Roman"/>
          <w:b w:val="0"/>
          <w:bCs/>
          <w:color w:val="auto"/>
          <w:sz w:val="32"/>
          <w:szCs w:val="32"/>
          <w:highlight w:val="none"/>
          <w:lang w:val="en-US" w:eastAsia="zh-CN"/>
        </w:rPr>
        <w:t>4.48</w:t>
      </w:r>
      <w:r>
        <w:rPr>
          <w:rStyle w:val="16"/>
          <w:rFonts w:hint="default" w:ascii="Times New Roman" w:hAnsi="Times New Roman" w:eastAsia="仿宋" w:cs="Times New Roman"/>
          <w:b w:val="0"/>
          <w:bCs/>
          <w:color w:val="auto"/>
          <w:sz w:val="32"/>
          <w:szCs w:val="32"/>
          <w:highlight w:val="none"/>
        </w:rPr>
        <w:t>万元，完成预算</w:t>
      </w:r>
      <w:r>
        <w:rPr>
          <w:rStyle w:val="16"/>
          <w:rFonts w:hint="default" w:ascii="Times New Roman" w:hAnsi="Times New Roman" w:eastAsia="仿宋" w:cs="Times New Roman"/>
          <w:b w:val="0"/>
          <w:bCs/>
          <w:color w:val="auto"/>
          <w:sz w:val="32"/>
          <w:szCs w:val="32"/>
          <w:highlight w:val="none"/>
          <w:lang w:val="en-US" w:eastAsia="zh-CN"/>
        </w:rPr>
        <w:t>100</w:t>
      </w:r>
      <w:r>
        <w:rPr>
          <w:rStyle w:val="16"/>
          <w:rFonts w:hint="default" w:ascii="Times New Roman" w:hAnsi="Times New Roman" w:eastAsia="仿宋" w:cs="Times New Roman"/>
          <w:b w:val="0"/>
          <w:bCs/>
          <w:color w:val="auto"/>
          <w:sz w:val="32"/>
          <w:szCs w:val="32"/>
          <w:highlight w:val="none"/>
        </w:rPr>
        <w:t>%</w:t>
      </w:r>
      <w:r>
        <w:rPr>
          <w:rStyle w:val="16"/>
          <w:rFonts w:hint="default" w:ascii="Times New Roman" w:hAnsi="Times New Roman" w:eastAsia="仿宋" w:cs="Times New Roman"/>
          <w:b w:val="0"/>
          <w:bCs/>
          <w:color w:val="auto"/>
          <w:sz w:val="32"/>
          <w:szCs w:val="32"/>
          <w:highlight w:val="none"/>
          <w:lang w:eastAsia="zh-CN"/>
        </w:rPr>
        <w:t>；</w:t>
      </w:r>
    </w:p>
    <w:p>
      <w:pPr>
        <w:pageBreakBefore w:val="0"/>
        <w:kinsoku/>
        <w:wordWrap/>
        <w:overflowPunct/>
        <w:topLinePunct w:val="0"/>
        <w:bidi w:val="0"/>
        <w:spacing w:line="540" w:lineRule="exact"/>
        <w:ind w:firstLine="643" w:firstLineChars="200"/>
        <w:textAlignment w:val="auto"/>
        <w:rPr>
          <w:rStyle w:val="16"/>
          <w:rFonts w:hint="default" w:ascii="Times New Roman" w:hAnsi="Times New Roman" w:eastAsia="仿宋" w:cs="Times New Roman"/>
          <w:b w:val="0"/>
          <w:bCs/>
          <w:color w:val="auto"/>
          <w:sz w:val="32"/>
          <w:szCs w:val="32"/>
          <w:highlight w:val="none"/>
        </w:rPr>
      </w:pPr>
      <w:r>
        <w:rPr>
          <w:rStyle w:val="16"/>
          <w:rFonts w:hint="eastAsia" w:eastAsia="仿宋" w:cs="Times New Roman"/>
          <w:bCs/>
          <w:color w:val="auto"/>
          <w:sz w:val="32"/>
          <w:szCs w:val="32"/>
          <w:highlight w:val="none"/>
          <w:lang w:val="en-US" w:eastAsia="zh-CN"/>
        </w:rPr>
        <w:t>2</w:t>
      </w:r>
      <w:r>
        <w:rPr>
          <w:rStyle w:val="16"/>
          <w:rFonts w:hint="default" w:ascii="Times New Roman" w:hAnsi="Times New Roman" w:eastAsia="仿宋" w:cs="Times New Roman"/>
          <w:bCs/>
          <w:color w:val="auto"/>
          <w:sz w:val="32"/>
          <w:szCs w:val="32"/>
          <w:highlight w:val="none"/>
        </w:rPr>
        <w:t>.</w:t>
      </w:r>
      <w:r>
        <w:rPr>
          <w:rStyle w:val="16"/>
          <w:rFonts w:hint="default" w:ascii="Times New Roman" w:hAnsi="Times New Roman" w:eastAsia="仿宋" w:cs="Times New Roman"/>
          <w:b w:val="0"/>
          <w:bCs/>
          <w:color w:val="auto"/>
          <w:sz w:val="32"/>
          <w:szCs w:val="32"/>
          <w:highlight w:val="none"/>
        </w:rPr>
        <w:t>社会保障和就业（类）行政事业单位养老支出（款）行政单位离退休（项）:支出决算为</w:t>
      </w:r>
      <w:r>
        <w:rPr>
          <w:rStyle w:val="16"/>
          <w:rFonts w:hint="default" w:ascii="Times New Roman" w:hAnsi="Times New Roman" w:eastAsia="仿宋" w:cs="Times New Roman"/>
          <w:b w:val="0"/>
          <w:bCs/>
          <w:color w:val="auto"/>
          <w:sz w:val="32"/>
          <w:szCs w:val="32"/>
          <w:highlight w:val="none"/>
          <w:lang w:val="en-US" w:eastAsia="zh-CN"/>
        </w:rPr>
        <w:t>7.56</w:t>
      </w:r>
      <w:r>
        <w:rPr>
          <w:rStyle w:val="16"/>
          <w:rFonts w:hint="default" w:ascii="Times New Roman" w:hAnsi="Times New Roman" w:eastAsia="仿宋" w:cs="Times New Roman"/>
          <w:b w:val="0"/>
          <w:bCs/>
          <w:color w:val="auto"/>
          <w:sz w:val="32"/>
          <w:szCs w:val="32"/>
          <w:highlight w:val="none"/>
        </w:rPr>
        <w:t>万元，完成预算</w:t>
      </w:r>
      <w:r>
        <w:rPr>
          <w:rStyle w:val="16"/>
          <w:rFonts w:hint="default" w:ascii="Times New Roman" w:hAnsi="Times New Roman" w:eastAsia="仿宋" w:cs="Times New Roman"/>
          <w:b w:val="0"/>
          <w:bCs/>
          <w:color w:val="auto"/>
          <w:sz w:val="32"/>
          <w:szCs w:val="32"/>
          <w:highlight w:val="none"/>
          <w:lang w:val="en-US" w:eastAsia="zh-CN"/>
        </w:rPr>
        <w:t>100</w:t>
      </w:r>
      <w:r>
        <w:rPr>
          <w:rStyle w:val="16"/>
          <w:rFonts w:hint="default" w:ascii="Times New Roman" w:hAnsi="Times New Roman" w:eastAsia="仿宋" w:cs="Times New Roman"/>
          <w:b w:val="0"/>
          <w:bCs/>
          <w:color w:val="auto"/>
          <w:sz w:val="32"/>
          <w:szCs w:val="32"/>
          <w:highlight w:val="none"/>
        </w:rPr>
        <w:t>%。卫生健康（类）行政事业单位养老支出（款）机关事业单位基本养老保险缴费支出（项）:支出决算为</w:t>
      </w:r>
      <w:r>
        <w:rPr>
          <w:rStyle w:val="16"/>
          <w:rFonts w:hint="default" w:ascii="Times New Roman" w:hAnsi="Times New Roman" w:eastAsia="仿宋" w:cs="Times New Roman"/>
          <w:b w:val="0"/>
          <w:bCs/>
          <w:color w:val="auto"/>
          <w:sz w:val="32"/>
          <w:szCs w:val="32"/>
          <w:highlight w:val="none"/>
          <w:lang w:val="en-US" w:eastAsia="zh-CN"/>
        </w:rPr>
        <w:t>18.87</w:t>
      </w:r>
      <w:r>
        <w:rPr>
          <w:rStyle w:val="16"/>
          <w:rFonts w:hint="default" w:ascii="Times New Roman" w:hAnsi="Times New Roman" w:eastAsia="仿宋" w:cs="Times New Roman"/>
          <w:b w:val="0"/>
          <w:bCs/>
          <w:color w:val="auto"/>
          <w:sz w:val="32"/>
          <w:szCs w:val="32"/>
          <w:highlight w:val="none"/>
        </w:rPr>
        <w:t>万元，完成预算</w:t>
      </w:r>
      <w:r>
        <w:rPr>
          <w:rStyle w:val="16"/>
          <w:rFonts w:hint="default" w:ascii="Times New Roman" w:hAnsi="Times New Roman" w:eastAsia="仿宋" w:cs="Times New Roman"/>
          <w:b w:val="0"/>
          <w:bCs/>
          <w:color w:val="auto"/>
          <w:sz w:val="32"/>
          <w:szCs w:val="32"/>
          <w:highlight w:val="none"/>
          <w:lang w:val="en-US" w:eastAsia="zh-CN"/>
        </w:rPr>
        <w:t>100</w:t>
      </w:r>
      <w:r>
        <w:rPr>
          <w:rStyle w:val="16"/>
          <w:rFonts w:hint="default" w:ascii="Times New Roman" w:hAnsi="Times New Roman" w:eastAsia="仿宋" w:cs="Times New Roman"/>
          <w:b w:val="0"/>
          <w:bCs/>
          <w:color w:val="auto"/>
          <w:sz w:val="32"/>
          <w:szCs w:val="32"/>
          <w:highlight w:val="none"/>
        </w:rPr>
        <w:t>%。卫生健康（类）行政事业单位养老支出（款）其他行政事业单位养老支出（项）:支出决算为</w:t>
      </w:r>
      <w:r>
        <w:rPr>
          <w:rStyle w:val="16"/>
          <w:rFonts w:hint="default" w:ascii="Times New Roman" w:hAnsi="Times New Roman" w:eastAsia="仿宋" w:cs="Times New Roman"/>
          <w:b w:val="0"/>
          <w:bCs/>
          <w:color w:val="auto"/>
          <w:sz w:val="32"/>
          <w:szCs w:val="32"/>
          <w:highlight w:val="none"/>
          <w:lang w:val="en-US" w:eastAsia="zh-CN"/>
        </w:rPr>
        <w:t>0.15</w:t>
      </w:r>
      <w:r>
        <w:rPr>
          <w:rStyle w:val="16"/>
          <w:rFonts w:hint="default" w:ascii="Times New Roman" w:hAnsi="Times New Roman" w:eastAsia="仿宋" w:cs="Times New Roman"/>
          <w:b w:val="0"/>
          <w:bCs/>
          <w:color w:val="auto"/>
          <w:sz w:val="32"/>
          <w:szCs w:val="32"/>
          <w:highlight w:val="none"/>
        </w:rPr>
        <w:t>万元，完成预算</w:t>
      </w:r>
      <w:r>
        <w:rPr>
          <w:rStyle w:val="16"/>
          <w:rFonts w:hint="default" w:ascii="Times New Roman" w:hAnsi="Times New Roman" w:eastAsia="仿宋" w:cs="Times New Roman"/>
          <w:b w:val="0"/>
          <w:bCs/>
          <w:color w:val="auto"/>
          <w:sz w:val="32"/>
          <w:szCs w:val="32"/>
          <w:highlight w:val="none"/>
          <w:lang w:val="en-US" w:eastAsia="zh-CN"/>
        </w:rPr>
        <w:t>100</w:t>
      </w:r>
      <w:r>
        <w:rPr>
          <w:rStyle w:val="16"/>
          <w:rFonts w:hint="default" w:ascii="Times New Roman" w:hAnsi="Times New Roman" w:eastAsia="仿宋" w:cs="Times New Roman"/>
          <w:b w:val="0"/>
          <w:bCs/>
          <w:color w:val="auto"/>
          <w:sz w:val="32"/>
          <w:szCs w:val="32"/>
          <w:highlight w:val="none"/>
        </w:rPr>
        <w:t>%。卫生健康（类）其他社会保障和就业支出（款）其他社会保障和就业支出（项）:支出决算为</w:t>
      </w:r>
      <w:r>
        <w:rPr>
          <w:rStyle w:val="16"/>
          <w:rFonts w:hint="default" w:ascii="Times New Roman" w:hAnsi="Times New Roman" w:eastAsia="仿宋" w:cs="Times New Roman"/>
          <w:b w:val="0"/>
          <w:bCs/>
          <w:color w:val="auto"/>
          <w:sz w:val="32"/>
          <w:szCs w:val="32"/>
          <w:highlight w:val="none"/>
          <w:lang w:val="en-US" w:eastAsia="zh-CN"/>
        </w:rPr>
        <w:t>0.2</w:t>
      </w:r>
      <w:r>
        <w:rPr>
          <w:rStyle w:val="16"/>
          <w:rFonts w:hint="default" w:ascii="Times New Roman" w:hAnsi="Times New Roman" w:eastAsia="仿宋" w:cs="Times New Roman"/>
          <w:b w:val="0"/>
          <w:bCs/>
          <w:color w:val="auto"/>
          <w:sz w:val="32"/>
          <w:szCs w:val="32"/>
          <w:highlight w:val="none"/>
        </w:rPr>
        <w:t>万元，完成预算</w:t>
      </w:r>
      <w:r>
        <w:rPr>
          <w:rStyle w:val="16"/>
          <w:rFonts w:hint="default" w:ascii="Times New Roman" w:hAnsi="Times New Roman" w:eastAsia="仿宋" w:cs="Times New Roman"/>
          <w:b w:val="0"/>
          <w:bCs/>
          <w:color w:val="auto"/>
          <w:sz w:val="32"/>
          <w:szCs w:val="32"/>
          <w:highlight w:val="none"/>
          <w:lang w:val="en-US" w:eastAsia="zh-CN"/>
        </w:rPr>
        <w:t>100</w:t>
      </w:r>
      <w:r>
        <w:rPr>
          <w:rStyle w:val="16"/>
          <w:rFonts w:hint="default" w:ascii="Times New Roman" w:hAnsi="Times New Roman" w:eastAsia="仿宋" w:cs="Times New Roman"/>
          <w:b w:val="0"/>
          <w:bCs/>
          <w:color w:val="auto"/>
          <w:sz w:val="32"/>
          <w:szCs w:val="32"/>
          <w:highlight w:val="none"/>
        </w:rPr>
        <w:t>%。</w:t>
      </w:r>
    </w:p>
    <w:p>
      <w:pPr>
        <w:pageBreakBefore w:val="0"/>
        <w:kinsoku/>
        <w:wordWrap/>
        <w:overflowPunct/>
        <w:topLinePunct w:val="0"/>
        <w:bidi w:val="0"/>
        <w:spacing w:line="540" w:lineRule="exact"/>
        <w:ind w:firstLine="643" w:firstLineChars="200"/>
        <w:textAlignment w:val="auto"/>
        <w:rPr>
          <w:rStyle w:val="16"/>
          <w:rFonts w:hint="default" w:ascii="Times New Roman" w:hAnsi="Times New Roman" w:eastAsia="方正仿宋_GBK" w:cs="Times New Roman"/>
          <w:b w:val="0"/>
          <w:color w:val="000000"/>
          <w:sz w:val="32"/>
          <w:szCs w:val="32"/>
          <w:lang w:eastAsia="zh-CN" w:bidi="ar-SA"/>
        </w:rPr>
      </w:pPr>
      <w:r>
        <w:rPr>
          <w:rStyle w:val="16"/>
          <w:rFonts w:hint="eastAsia" w:eastAsia="仿宋" w:cs="Times New Roman"/>
          <w:bCs/>
          <w:color w:val="auto"/>
          <w:sz w:val="32"/>
          <w:szCs w:val="32"/>
          <w:highlight w:val="none"/>
          <w:lang w:val="en-US" w:eastAsia="zh-CN"/>
        </w:rPr>
        <w:t>3</w:t>
      </w:r>
      <w:r>
        <w:rPr>
          <w:rStyle w:val="16"/>
          <w:rFonts w:hint="default" w:ascii="Times New Roman" w:hAnsi="Times New Roman" w:eastAsia="仿宋" w:cs="Times New Roman"/>
          <w:bCs/>
          <w:color w:val="auto"/>
          <w:sz w:val="32"/>
          <w:szCs w:val="32"/>
          <w:highlight w:val="none"/>
        </w:rPr>
        <w:t>.</w:t>
      </w:r>
      <w:r>
        <w:rPr>
          <w:rStyle w:val="16"/>
          <w:rFonts w:hint="default" w:ascii="Times New Roman" w:hAnsi="Times New Roman" w:eastAsia="方正仿宋_GBK" w:cs="Times New Roman"/>
          <w:b w:val="0"/>
          <w:color w:val="000000"/>
          <w:sz w:val="32"/>
          <w:szCs w:val="32"/>
          <w:lang w:bidi="ar-SA"/>
        </w:rPr>
        <w:t>卫生健康（类）行政事业单位医疗（款）行政单位医疗（项）</w:t>
      </w:r>
      <w:r>
        <w:rPr>
          <w:rStyle w:val="16"/>
          <w:rFonts w:hint="default" w:ascii="Times New Roman" w:hAnsi="Times New Roman" w:eastAsia="方正仿宋_GBK" w:cs="Times New Roman"/>
          <w:b w:val="0"/>
          <w:color w:val="000000"/>
          <w:sz w:val="32"/>
          <w:szCs w:val="32"/>
          <w:lang w:val="en" w:eastAsia="zh-CN" w:bidi="ar-SA"/>
        </w:rPr>
        <w:t>：</w:t>
      </w:r>
      <w:r>
        <w:rPr>
          <w:rStyle w:val="16"/>
          <w:rFonts w:hint="default" w:ascii="Times New Roman" w:hAnsi="Times New Roman" w:eastAsia="方正仿宋_GBK" w:cs="Times New Roman"/>
          <w:b w:val="0"/>
          <w:color w:val="000000"/>
          <w:sz w:val="32"/>
          <w:szCs w:val="32"/>
          <w:lang w:bidi="ar-SA"/>
        </w:rPr>
        <w:t>支出决算为</w:t>
      </w:r>
      <w:r>
        <w:rPr>
          <w:rStyle w:val="16"/>
          <w:rFonts w:hint="default" w:ascii="Times New Roman" w:hAnsi="Times New Roman" w:eastAsia="方正仿宋_GBK" w:cs="Times New Roman"/>
          <w:b w:val="0"/>
          <w:color w:val="000000"/>
          <w:sz w:val="32"/>
          <w:szCs w:val="32"/>
          <w:lang w:val="en" w:eastAsia="zh-CN" w:bidi="ar-SA"/>
        </w:rPr>
        <w:t>6.98</w:t>
      </w:r>
      <w:r>
        <w:rPr>
          <w:rStyle w:val="16"/>
          <w:rFonts w:hint="default" w:ascii="Times New Roman" w:hAnsi="Times New Roman" w:eastAsia="方正仿宋_GBK" w:cs="Times New Roman"/>
          <w:b w:val="0"/>
          <w:color w:val="000000"/>
          <w:sz w:val="32"/>
          <w:szCs w:val="32"/>
          <w:lang w:bidi="ar-SA"/>
        </w:rPr>
        <w:t>万元，完成预算100%</w:t>
      </w:r>
      <w:r>
        <w:rPr>
          <w:rStyle w:val="16"/>
          <w:rFonts w:hint="default" w:ascii="Times New Roman" w:hAnsi="Times New Roman" w:eastAsia="方正仿宋_GBK" w:cs="Times New Roman"/>
          <w:b w:val="0"/>
          <w:color w:val="000000"/>
          <w:sz w:val="32"/>
          <w:szCs w:val="32"/>
          <w:lang w:eastAsia="zh-CN" w:bidi="ar-SA"/>
        </w:rPr>
        <w:t>。</w:t>
      </w:r>
      <w:r>
        <w:rPr>
          <w:rStyle w:val="16"/>
          <w:rFonts w:hint="default" w:ascii="Times New Roman" w:hAnsi="Times New Roman" w:eastAsia="方正仿宋_GBK" w:cs="Times New Roman"/>
          <w:b w:val="0"/>
          <w:color w:val="000000"/>
          <w:sz w:val="32"/>
          <w:szCs w:val="32"/>
          <w:lang w:bidi="ar-SA"/>
        </w:rPr>
        <w:t>卫生健康（类）行政事业单位医疗（款）事业单位医疗（项）</w:t>
      </w:r>
      <w:r>
        <w:rPr>
          <w:rStyle w:val="16"/>
          <w:rFonts w:hint="default" w:ascii="Times New Roman" w:hAnsi="Times New Roman" w:eastAsia="方正仿宋_GBK" w:cs="Times New Roman"/>
          <w:b w:val="0"/>
          <w:color w:val="000000"/>
          <w:sz w:val="32"/>
          <w:szCs w:val="32"/>
          <w:lang w:val="en" w:eastAsia="zh-CN" w:bidi="ar-SA"/>
        </w:rPr>
        <w:t>：</w:t>
      </w:r>
      <w:r>
        <w:rPr>
          <w:rStyle w:val="16"/>
          <w:rFonts w:hint="default" w:ascii="Times New Roman" w:hAnsi="Times New Roman" w:eastAsia="方正仿宋_GBK" w:cs="Times New Roman"/>
          <w:b w:val="0"/>
          <w:color w:val="000000"/>
          <w:sz w:val="32"/>
          <w:szCs w:val="32"/>
          <w:lang w:bidi="ar-SA"/>
        </w:rPr>
        <w:t>支出决算为</w:t>
      </w:r>
      <w:r>
        <w:rPr>
          <w:rStyle w:val="16"/>
          <w:rFonts w:hint="default" w:ascii="Times New Roman" w:hAnsi="Times New Roman" w:eastAsia="方正仿宋_GBK" w:cs="Times New Roman"/>
          <w:b w:val="0"/>
          <w:color w:val="000000"/>
          <w:sz w:val="32"/>
          <w:szCs w:val="32"/>
          <w:lang w:val="en-US" w:eastAsia="zh-CN" w:bidi="ar-SA"/>
        </w:rPr>
        <w:t>4.13</w:t>
      </w:r>
      <w:r>
        <w:rPr>
          <w:rStyle w:val="16"/>
          <w:rFonts w:hint="default" w:ascii="Times New Roman" w:hAnsi="Times New Roman" w:eastAsia="方正仿宋_GBK" w:cs="Times New Roman"/>
          <w:b w:val="0"/>
          <w:color w:val="000000"/>
          <w:sz w:val="32"/>
          <w:szCs w:val="32"/>
          <w:lang w:bidi="ar-SA"/>
        </w:rPr>
        <w:t>万元，完成预算100%</w:t>
      </w:r>
      <w:r>
        <w:rPr>
          <w:rStyle w:val="16"/>
          <w:rFonts w:hint="default" w:ascii="Times New Roman" w:hAnsi="Times New Roman" w:eastAsia="方正仿宋_GBK" w:cs="Times New Roman"/>
          <w:b w:val="0"/>
          <w:color w:val="000000"/>
          <w:sz w:val="32"/>
          <w:szCs w:val="32"/>
          <w:lang w:eastAsia="zh-CN" w:bidi="ar-SA"/>
        </w:rPr>
        <w:t>。</w:t>
      </w:r>
      <w:r>
        <w:rPr>
          <w:rStyle w:val="16"/>
          <w:rFonts w:hint="default" w:ascii="Times New Roman" w:hAnsi="Times New Roman" w:eastAsia="方正仿宋_GBK" w:cs="Times New Roman"/>
          <w:b w:val="0"/>
          <w:color w:val="000000"/>
          <w:sz w:val="32"/>
          <w:szCs w:val="32"/>
          <w:lang w:bidi="ar-SA"/>
        </w:rPr>
        <w:t>卫生健康（类）行政事业单位医疗（款）公务员医疗补助（项）</w:t>
      </w:r>
      <w:r>
        <w:rPr>
          <w:rStyle w:val="16"/>
          <w:rFonts w:hint="default" w:ascii="Times New Roman" w:hAnsi="Times New Roman" w:eastAsia="方正仿宋_GBK" w:cs="Times New Roman"/>
          <w:b w:val="0"/>
          <w:color w:val="000000"/>
          <w:sz w:val="32"/>
          <w:szCs w:val="32"/>
          <w:lang w:val="en" w:eastAsia="zh-CN" w:bidi="ar-SA"/>
        </w:rPr>
        <w:t>：</w:t>
      </w:r>
      <w:r>
        <w:rPr>
          <w:rStyle w:val="16"/>
          <w:rFonts w:hint="default" w:ascii="Times New Roman" w:hAnsi="Times New Roman" w:eastAsia="方正仿宋_GBK" w:cs="Times New Roman"/>
          <w:b w:val="0"/>
          <w:color w:val="000000"/>
          <w:sz w:val="32"/>
          <w:szCs w:val="32"/>
          <w:lang w:bidi="ar-SA"/>
        </w:rPr>
        <w:t>支出决算为</w:t>
      </w:r>
      <w:r>
        <w:rPr>
          <w:rStyle w:val="16"/>
          <w:rFonts w:hint="default" w:ascii="Times New Roman" w:hAnsi="Times New Roman" w:eastAsia="方正仿宋_GBK" w:cs="Times New Roman"/>
          <w:b w:val="0"/>
          <w:color w:val="000000"/>
          <w:sz w:val="32"/>
          <w:szCs w:val="32"/>
          <w:lang w:val="en-US" w:eastAsia="zh-CN" w:bidi="ar-SA"/>
        </w:rPr>
        <w:t>1.55</w:t>
      </w:r>
      <w:r>
        <w:rPr>
          <w:rStyle w:val="16"/>
          <w:rFonts w:hint="default" w:ascii="Times New Roman" w:hAnsi="Times New Roman" w:eastAsia="方正仿宋_GBK" w:cs="Times New Roman"/>
          <w:b w:val="0"/>
          <w:color w:val="000000"/>
          <w:sz w:val="32"/>
          <w:szCs w:val="32"/>
          <w:lang w:bidi="ar-SA"/>
        </w:rPr>
        <w:t>万元，完成预算100%</w:t>
      </w:r>
      <w:r>
        <w:rPr>
          <w:rStyle w:val="16"/>
          <w:rFonts w:hint="default" w:ascii="Times New Roman" w:hAnsi="Times New Roman" w:eastAsia="方正仿宋_GBK" w:cs="Times New Roman"/>
          <w:b w:val="0"/>
          <w:color w:val="000000"/>
          <w:sz w:val="32"/>
          <w:szCs w:val="32"/>
          <w:lang w:eastAsia="zh-CN" w:bidi="ar-SA"/>
        </w:rPr>
        <w:t>。</w:t>
      </w:r>
      <w:r>
        <w:rPr>
          <w:rStyle w:val="16"/>
          <w:rFonts w:hint="default" w:ascii="Times New Roman" w:hAnsi="Times New Roman" w:eastAsia="方正仿宋_GBK" w:cs="Times New Roman"/>
          <w:b w:val="0"/>
          <w:color w:val="000000"/>
          <w:sz w:val="32"/>
          <w:szCs w:val="32"/>
          <w:lang w:bidi="ar-SA"/>
        </w:rPr>
        <w:t>卫生健康（类）行政事业单位医疗（款）其他行政事业单位医疗支出（项）</w:t>
      </w:r>
      <w:r>
        <w:rPr>
          <w:rStyle w:val="16"/>
          <w:rFonts w:hint="default" w:ascii="Times New Roman" w:hAnsi="Times New Roman" w:eastAsia="方正仿宋_GBK" w:cs="Times New Roman"/>
          <w:b w:val="0"/>
          <w:color w:val="000000"/>
          <w:sz w:val="32"/>
          <w:szCs w:val="32"/>
          <w:lang w:val="en" w:eastAsia="zh-CN" w:bidi="ar-SA"/>
        </w:rPr>
        <w:t>：</w:t>
      </w:r>
      <w:r>
        <w:rPr>
          <w:rStyle w:val="16"/>
          <w:rFonts w:hint="default" w:ascii="Times New Roman" w:hAnsi="Times New Roman" w:eastAsia="方正仿宋_GBK" w:cs="Times New Roman"/>
          <w:b w:val="0"/>
          <w:color w:val="000000"/>
          <w:sz w:val="32"/>
          <w:szCs w:val="32"/>
          <w:lang w:bidi="ar-SA"/>
        </w:rPr>
        <w:t>支出决算为</w:t>
      </w:r>
      <w:r>
        <w:rPr>
          <w:rStyle w:val="16"/>
          <w:rFonts w:hint="default" w:ascii="Times New Roman" w:hAnsi="Times New Roman" w:eastAsia="方正仿宋_GBK" w:cs="Times New Roman"/>
          <w:b w:val="0"/>
          <w:color w:val="000000"/>
          <w:sz w:val="32"/>
          <w:szCs w:val="32"/>
          <w:lang w:val="en-US" w:eastAsia="zh-CN" w:bidi="ar-SA"/>
        </w:rPr>
        <w:t>4.12</w:t>
      </w:r>
      <w:r>
        <w:rPr>
          <w:rStyle w:val="16"/>
          <w:rFonts w:hint="default" w:ascii="Times New Roman" w:hAnsi="Times New Roman" w:eastAsia="方正仿宋_GBK" w:cs="Times New Roman"/>
          <w:b w:val="0"/>
          <w:color w:val="000000"/>
          <w:sz w:val="32"/>
          <w:szCs w:val="32"/>
          <w:lang w:bidi="ar-SA"/>
        </w:rPr>
        <w:t>万元，完成预算100%</w:t>
      </w:r>
      <w:r>
        <w:rPr>
          <w:rStyle w:val="16"/>
          <w:rFonts w:hint="default" w:ascii="Times New Roman" w:hAnsi="Times New Roman" w:eastAsia="方正仿宋_GBK" w:cs="Times New Roman"/>
          <w:b w:val="0"/>
          <w:color w:val="000000"/>
          <w:sz w:val="32"/>
          <w:szCs w:val="32"/>
          <w:lang w:eastAsia="zh-CN" w:bidi="ar-SA"/>
        </w:rPr>
        <w:t>。</w:t>
      </w:r>
    </w:p>
    <w:p>
      <w:pPr>
        <w:pStyle w:val="2"/>
        <w:pageBreakBefore w:val="0"/>
        <w:kinsoku/>
        <w:wordWrap/>
        <w:overflowPunct/>
        <w:topLinePunct w:val="0"/>
        <w:bidi w:val="0"/>
        <w:spacing w:line="540" w:lineRule="exact"/>
        <w:ind w:firstLine="643" w:firstLineChars="200"/>
        <w:textAlignment w:val="auto"/>
        <w:rPr>
          <w:rFonts w:hint="default" w:ascii="Times New Roman" w:hAnsi="Times New Roman" w:cs="Times New Roman"/>
          <w:lang w:eastAsia="zh-CN"/>
        </w:rPr>
      </w:pPr>
      <w:r>
        <w:rPr>
          <w:rStyle w:val="16"/>
          <w:rFonts w:hint="eastAsia" w:ascii="Times New Roman" w:eastAsia="仿宋" w:cs="Times New Roman"/>
          <w:bCs/>
          <w:color w:val="auto"/>
          <w:sz w:val="32"/>
          <w:szCs w:val="32"/>
          <w:highlight w:val="none"/>
          <w:lang w:val="en-US" w:eastAsia="zh-CN"/>
        </w:rPr>
        <w:t>4</w:t>
      </w:r>
      <w:r>
        <w:rPr>
          <w:rStyle w:val="16"/>
          <w:rFonts w:hint="default" w:ascii="Times New Roman" w:hAnsi="Times New Roman" w:eastAsia="仿宋" w:cs="Times New Roman"/>
          <w:bCs/>
          <w:color w:val="auto"/>
          <w:sz w:val="32"/>
          <w:szCs w:val="32"/>
          <w:highlight w:val="none"/>
          <w:lang w:val="en" w:eastAsia="zh-CN"/>
        </w:rPr>
        <w:t>.</w:t>
      </w:r>
      <w:r>
        <w:rPr>
          <w:rStyle w:val="16"/>
          <w:rFonts w:hint="default" w:ascii="Times New Roman" w:hAnsi="Times New Roman" w:eastAsia="方正仿宋_GBK" w:cs="Times New Roman"/>
          <w:b w:val="0"/>
          <w:color w:val="000000"/>
          <w:sz w:val="32"/>
          <w:szCs w:val="32"/>
          <w:lang w:bidi="ar-SA"/>
        </w:rPr>
        <w:t>住房保障支出（类）住房改革支出（款）住房公积金（项）</w:t>
      </w:r>
      <w:r>
        <w:rPr>
          <w:rStyle w:val="16"/>
          <w:rFonts w:hint="default" w:ascii="Times New Roman" w:hAnsi="Times New Roman" w:eastAsia="方正仿宋_GBK" w:cs="Times New Roman"/>
          <w:b w:val="0"/>
          <w:color w:val="000000"/>
          <w:sz w:val="32"/>
          <w:szCs w:val="32"/>
          <w:lang w:eastAsia="zh-CN" w:bidi="ar-SA"/>
        </w:rPr>
        <w:t>：</w:t>
      </w:r>
      <w:r>
        <w:rPr>
          <w:rStyle w:val="16"/>
          <w:rFonts w:hint="default" w:ascii="Times New Roman" w:hAnsi="Times New Roman" w:eastAsia="方正仿宋_GBK" w:cs="Times New Roman"/>
          <w:b w:val="0"/>
          <w:color w:val="000000"/>
          <w:sz w:val="32"/>
          <w:szCs w:val="32"/>
          <w:lang w:bidi="ar-SA"/>
        </w:rPr>
        <w:t>支出决算为</w:t>
      </w:r>
      <w:r>
        <w:rPr>
          <w:rStyle w:val="16"/>
          <w:rFonts w:hint="default" w:ascii="Times New Roman" w:hAnsi="Times New Roman" w:eastAsia="方正仿宋_GBK" w:cs="Times New Roman"/>
          <w:b w:val="0"/>
          <w:color w:val="000000"/>
          <w:sz w:val="32"/>
          <w:szCs w:val="32"/>
          <w:lang w:val="en-US" w:eastAsia="zh-CN" w:bidi="ar-SA"/>
        </w:rPr>
        <w:t>24.65</w:t>
      </w:r>
      <w:r>
        <w:rPr>
          <w:rStyle w:val="16"/>
          <w:rFonts w:hint="default" w:ascii="Times New Roman" w:hAnsi="Times New Roman" w:eastAsia="方正仿宋_GBK" w:cs="Times New Roman"/>
          <w:b w:val="0"/>
          <w:color w:val="000000"/>
          <w:sz w:val="32"/>
          <w:szCs w:val="32"/>
          <w:lang w:bidi="ar-SA"/>
        </w:rPr>
        <w:t>万元，完成预算100%。</w:t>
      </w:r>
    </w:p>
    <w:p>
      <w:pPr>
        <w:pageBreakBefore w:val="0"/>
        <w:tabs>
          <w:tab w:val="right" w:pos="8306"/>
        </w:tabs>
        <w:kinsoku/>
        <w:wordWrap/>
        <w:overflowPunct/>
        <w:topLinePunct w:val="0"/>
        <w:bidi w:val="0"/>
        <w:spacing w:line="540" w:lineRule="exact"/>
        <w:ind w:firstLine="640"/>
        <w:textAlignment w:val="auto"/>
        <w:outlineLvl w:val="1"/>
        <w:rPr>
          <w:rStyle w:val="29"/>
          <w:rFonts w:hint="default" w:ascii="Times New Roman" w:hAnsi="Times New Roman" w:cs="Times New Roman"/>
          <w:color w:val="auto"/>
          <w:highlight w:val="none"/>
        </w:rPr>
      </w:pPr>
      <w:bookmarkStart w:id="56" w:name="_Toc15396608"/>
      <w:bookmarkStart w:id="57" w:name="_Toc4396"/>
      <w:bookmarkStart w:id="58" w:name="_Toc15377214"/>
      <w:r>
        <w:rPr>
          <w:rFonts w:hint="default" w:ascii="Times New Roman" w:hAnsi="Times New Roman" w:eastAsia="黑体" w:cs="Times New Roman"/>
          <w:color w:val="auto"/>
          <w:sz w:val="32"/>
          <w:szCs w:val="32"/>
          <w:highlight w:val="none"/>
        </w:rPr>
        <w:t>六</w:t>
      </w:r>
      <w:r>
        <w:rPr>
          <w:rFonts w:hint="default" w:ascii="Times New Roman" w:hAnsi="Times New Roman" w:eastAsia="黑体" w:cs="Times New Roman"/>
          <w:b/>
          <w:color w:val="auto"/>
          <w:sz w:val="32"/>
          <w:szCs w:val="32"/>
          <w:highlight w:val="none"/>
        </w:rPr>
        <w:t>、一</w:t>
      </w:r>
      <w:r>
        <w:rPr>
          <w:rStyle w:val="29"/>
          <w:rFonts w:hint="default" w:ascii="Times New Roman" w:hAnsi="Times New Roman" w:eastAsia="黑体" w:cs="Times New Roman"/>
          <w:b w:val="0"/>
          <w:color w:val="auto"/>
          <w:highlight w:val="none"/>
        </w:rPr>
        <w:t>般公共预算财政拨款基本支出决算情况说明</w:t>
      </w:r>
      <w:bookmarkEnd w:id="56"/>
      <w:bookmarkEnd w:id="57"/>
      <w:bookmarkEnd w:id="58"/>
      <w:r>
        <w:rPr>
          <w:rStyle w:val="29"/>
          <w:rFonts w:hint="default" w:ascii="Times New Roman" w:hAnsi="Times New Roman" w:eastAsia="黑体" w:cs="Times New Roman"/>
          <w:b w:val="0"/>
          <w:color w:val="auto"/>
          <w:highlight w:val="none"/>
        </w:rPr>
        <w:tab/>
      </w:r>
    </w:p>
    <w:p>
      <w:pPr>
        <w:pageBreakBefore w:val="0"/>
        <w:kinsoku/>
        <w:wordWrap/>
        <w:overflowPunct/>
        <w:topLinePunct w:val="0"/>
        <w:bidi w:val="0"/>
        <w:spacing w:line="540" w:lineRule="exact"/>
        <w:ind w:firstLine="645"/>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22</w:t>
      </w:r>
      <w:r>
        <w:rPr>
          <w:rFonts w:hint="default" w:ascii="Times New Roman" w:hAnsi="Times New Roman" w:eastAsia="仿宋" w:cs="Times New Roman"/>
          <w:color w:val="auto"/>
          <w:sz w:val="32"/>
          <w:szCs w:val="32"/>
          <w:highlight w:val="none"/>
        </w:rPr>
        <w:t>年一般公共预算财政拨款基本支出</w:t>
      </w:r>
      <w:r>
        <w:rPr>
          <w:rFonts w:hint="default" w:ascii="Times New Roman" w:hAnsi="Times New Roman" w:eastAsia="仿宋" w:cs="Times New Roman"/>
          <w:color w:val="auto"/>
          <w:sz w:val="32"/>
          <w:szCs w:val="32"/>
          <w:highlight w:val="none"/>
          <w:lang w:val="en-US" w:eastAsia="zh-CN"/>
        </w:rPr>
        <w:t>329.01</w:t>
      </w:r>
      <w:r>
        <w:rPr>
          <w:rFonts w:hint="default" w:ascii="Times New Roman" w:hAnsi="Times New Roman" w:eastAsia="仿宋" w:cs="Times New Roman"/>
          <w:color w:val="auto"/>
          <w:sz w:val="32"/>
          <w:szCs w:val="32"/>
          <w:highlight w:val="none"/>
        </w:rPr>
        <w:t>万元，其中：</w:t>
      </w:r>
    </w:p>
    <w:p>
      <w:pPr>
        <w:pageBreakBefore w:val="0"/>
        <w:kinsoku/>
        <w:wordWrap/>
        <w:overflowPunct/>
        <w:topLinePunct w:val="0"/>
        <w:bidi w:val="0"/>
        <w:spacing w:line="540" w:lineRule="exact"/>
        <w:ind w:firstLine="645"/>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人员经费</w:t>
      </w:r>
      <w:r>
        <w:rPr>
          <w:rFonts w:hint="default" w:ascii="Times New Roman" w:hAnsi="Times New Roman" w:eastAsia="仿宋" w:cs="Times New Roman"/>
          <w:color w:val="auto"/>
          <w:sz w:val="32"/>
          <w:szCs w:val="32"/>
          <w:highlight w:val="none"/>
          <w:lang w:val="en-US" w:eastAsia="zh-CN"/>
        </w:rPr>
        <w:t>283.75</w:t>
      </w:r>
      <w:r>
        <w:rPr>
          <w:rFonts w:hint="default" w:ascii="Times New Roman" w:hAnsi="Times New Roman" w:eastAsia="仿宋" w:cs="Times New Roman"/>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default" w:ascii="Times New Roman" w:hAnsi="Times New Roman" w:eastAsia="仿宋" w:cs="Times New Roman"/>
          <w:color w:val="auto"/>
          <w:sz w:val="32"/>
          <w:szCs w:val="32"/>
          <w:highlight w:val="none"/>
        </w:rPr>
        <w:br w:type="textWrapping"/>
      </w:r>
      <w:r>
        <w:rPr>
          <w:rFonts w:hint="default" w:ascii="Times New Roman" w:hAnsi="Times New Roman" w:eastAsia="仿宋" w:cs="Times New Roman"/>
          <w:color w:val="auto"/>
          <w:sz w:val="32"/>
          <w:szCs w:val="32"/>
          <w:highlight w:val="none"/>
        </w:rPr>
        <w:t>　　公用经费</w:t>
      </w:r>
      <w:r>
        <w:rPr>
          <w:rFonts w:hint="default" w:ascii="Times New Roman" w:hAnsi="Times New Roman" w:eastAsia="仿宋" w:cs="Times New Roman"/>
          <w:color w:val="auto"/>
          <w:sz w:val="32"/>
          <w:szCs w:val="32"/>
          <w:highlight w:val="none"/>
          <w:lang w:val="en-US" w:eastAsia="zh-CN"/>
        </w:rPr>
        <w:t>45.26</w:t>
      </w:r>
      <w:r>
        <w:rPr>
          <w:rFonts w:hint="default" w:ascii="Times New Roman" w:hAnsi="Times New Roman" w:eastAsia="仿宋" w:cs="Times New Roman"/>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ageBreakBefore w:val="0"/>
        <w:kinsoku/>
        <w:wordWrap/>
        <w:overflowPunct/>
        <w:topLinePunct w:val="0"/>
        <w:bidi w:val="0"/>
        <w:spacing w:line="540" w:lineRule="exact"/>
        <w:ind w:firstLine="640"/>
        <w:textAlignment w:val="auto"/>
        <w:outlineLvl w:val="1"/>
        <w:rPr>
          <w:rStyle w:val="29"/>
          <w:rFonts w:hint="default" w:ascii="Times New Roman" w:hAnsi="Times New Roman" w:eastAsia="黑体" w:cs="Times New Roman"/>
          <w:b w:val="0"/>
          <w:color w:val="auto"/>
          <w:highlight w:val="none"/>
        </w:rPr>
      </w:pPr>
      <w:bookmarkStart w:id="59" w:name="_Toc2375"/>
      <w:bookmarkStart w:id="60" w:name="_Toc15377215"/>
      <w:bookmarkStart w:id="61" w:name="_Toc15396609"/>
      <w:r>
        <w:rPr>
          <w:rFonts w:hint="default" w:ascii="Times New Roman" w:hAnsi="Times New Roman" w:eastAsia="黑体" w:cs="Times New Roman"/>
          <w:color w:val="auto"/>
          <w:sz w:val="32"/>
          <w:szCs w:val="32"/>
          <w:highlight w:val="none"/>
        </w:rPr>
        <w:t>七、</w:t>
      </w:r>
      <w:r>
        <w:rPr>
          <w:rStyle w:val="29"/>
          <w:rFonts w:hint="default" w:ascii="Times New Roman" w:hAnsi="Times New Roman" w:eastAsia="黑体" w:cs="Times New Roman"/>
          <w:b w:val="0"/>
          <w:color w:val="auto"/>
          <w:highlight w:val="none"/>
        </w:rPr>
        <w:t>财政拨款</w:t>
      </w:r>
      <w:r>
        <w:rPr>
          <w:rStyle w:val="29"/>
          <w:rFonts w:hint="default" w:ascii="Times New Roman" w:hAnsi="Times New Roman" w:eastAsia="黑体" w:cs="Times New Roman"/>
          <w:color w:val="auto"/>
          <w:highlight w:val="none"/>
        </w:rPr>
        <w:t>“</w:t>
      </w:r>
      <w:r>
        <w:rPr>
          <w:rStyle w:val="29"/>
          <w:rFonts w:hint="default" w:ascii="Times New Roman" w:hAnsi="Times New Roman" w:eastAsia="黑体" w:cs="Times New Roman"/>
          <w:b w:val="0"/>
          <w:color w:val="auto"/>
          <w:highlight w:val="none"/>
        </w:rPr>
        <w:t>三公”经费支出决算情况说明</w:t>
      </w:r>
      <w:bookmarkEnd w:id="59"/>
      <w:bookmarkEnd w:id="60"/>
      <w:bookmarkEnd w:id="61"/>
    </w:p>
    <w:p>
      <w:pPr>
        <w:pageBreakBefore w:val="0"/>
        <w:kinsoku/>
        <w:wordWrap/>
        <w:overflowPunct/>
        <w:topLinePunct w:val="0"/>
        <w:bidi w:val="0"/>
        <w:spacing w:line="540" w:lineRule="exact"/>
        <w:ind w:firstLine="640"/>
        <w:textAlignment w:val="auto"/>
        <w:outlineLvl w:val="2"/>
        <w:rPr>
          <w:rFonts w:hint="default" w:ascii="Times New Roman" w:hAnsi="Times New Roman" w:eastAsia="仿宋" w:cs="Times New Roman"/>
          <w:b/>
          <w:color w:val="auto"/>
          <w:sz w:val="32"/>
          <w:szCs w:val="32"/>
          <w:highlight w:val="none"/>
        </w:rPr>
      </w:pPr>
      <w:bookmarkStart w:id="62" w:name="_Toc15377216"/>
      <w:r>
        <w:rPr>
          <w:rFonts w:hint="default" w:ascii="Times New Roman" w:hAnsi="Times New Roman" w:eastAsia="仿宋" w:cs="Times New Roman"/>
          <w:b/>
          <w:color w:val="auto"/>
          <w:sz w:val="32"/>
          <w:szCs w:val="32"/>
          <w:highlight w:val="none"/>
        </w:rPr>
        <w:t>（一）“三公”经费财政拨款支出决算总体情况说明</w:t>
      </w:r>
      <w:bookmarkEnd w:id="62"/>
    </w:p>
    <w:p>
      <w:pPr>
        <w:pageBreakBefore w:val="0"/>
        <w:kinsoku/>
        <w:wordWrap/>
        <w:overflowPunct/>
        <w:topLinePunct w:val="0"/>
        <w:bidi w:val="0"/>
        <w:spacing w:line="540" w:lineRule="exact"/>
        <w:ind w:firstLine="64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22</w:t>
      </w:r>
      <w:r>
        <w:rPr>
          <w:rFonts w:hint="default" w:ascii="Times New Roman" w:hAnsi="Times New Roman" w:eastAsia="仿宋" w:cs="Times New Roman"/>
          <w:color w:val="auto"/>
          <w:sz w:val="32"/>
          <w:szCs w:val="32"/>
          <w:highlight w:val="none"/>
        </w:rPr>
        <w:t>年“三公”经费财政拨款支出决算为</w:t>
      </w:r>
      <w:r>
        <w:rPr>
          <w:rFonts w:hint="default" w:ascii="Times New Roman" w:hAnsi="Times New Roman" w:eastAsia="仿宋" w:cs="Times New Roman"/>
          <w:color w:val="auto"/>
          <w:sz w:val="32"/>
          <w:szCs w:val="32"/>
          <w:highlight w:val="none"/>
          <w:lang w:val="en-US" w:eastAsia="zh-CN"/>
        </w:rPr>
        <w:t>0.81</w:t>
      </w:r>
      <w:r>
        <w:rPr>
          <w:rFonts w:hint="default" w:ascii="Times New Roman" w:hAnsi="Times New Roman" w:eastAsia="仿宋" w:cs="Times New Roman"/>
          <w:color w:val="auto"/>
          <w:sz w:val="32"/>
          <w:szCs w:val="32"/>
          <w:highlight w:val="none"/>
        </w:rPr>
        <w:t>万元，完成预算</w:t>
      </w:r>
      <w:r>
        <w:rPr>
          <w:rFonts w:hint="default"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%，决算数与预算数持平。</w:t>
      </w:r>
    </w:p>
    <w:p>
      <w:pPr>
        <w:pageBreakBefore w:val="0"/>
        <w:kinsoku/>
        <w:wordWrap/>
        <w:overflowPunct/>
        <w:topLinePunct w:val="0"/>
        <w:bidi w:val="0"/>
        <w:spacing w:line="540" w:lineRule="exact"/>
        <w:ind w:firstLine="640"/>
        <w:textAlignment w:val="auto"/>
        <w:outlineLvl w:val="2"/>
        <w:rPr>
          <w:rFonts w:hint="default" w:ascii="Times New Roman" w:hAnsi="Times New Roman" w:eastAsia="仿宋" w:cs="Times New Roman"/>
          <w:b/>
          <w:color w:val="auto"/>
          <w:sz w:val="32"/>
          <w:szCs w:val="32"/>
          <w:highlight w:val="none"/>
        </w:rPr>
      </w:pPr>
      <w:bookmarkStart w:id="63" w:name="_Toc15377217"/>
      <w:r>
        <w:rPr>
          <w:rFonts w:hint="default" w:ascii="Times New Roman" w:hAnsi="Times New Roman" w:eastAsia="仿宋" w:cs="Times New Roman"/>
          <w:b/>
          <w:color w:val="auto"/>
          <w:sz w:val="32"/>
          <w:szCs w:val="32"/>
          <w:highlight w:val="none"/>
        </w:rPr>
        <w:t>（二）“三公”经费财政拨款支出决算具体情况说明</w:t>
      </w:r>
      <w:bookmarkEnd w:id="63"/>
    </w:p>
    <w:p>
      <w:pPr>
        <w:pageBreakBefore w:val="0"/>
        <w:kinsoku/>
        <w:wordWrap/>
        <w:overflowPunct/>
        <w:topLinePunct w:val="0"/>
        <w:bidi w:val="0"/>
        <w:spacing w:line="540" w:lineRule="exact"/>
        <w:ind w:firstLine="64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22</w:t>
      </w:r>
      <w:r>
        <w:rPr>
          <w:rFonts w:hint="default" w:ascii="Times New Roman" w:hAnsi="Times New Roman" w:eastAsia="仿宋" w:cs="Times New Roman"/>
          <w:color w:val="auto"/>
          <w:sz w:val="32"/>
          <w:szCs w:val="32"/>
          <w:highlight w:val="none"/>
        </w:rPr>
        <w:t>年“三公”经费财政拨款支出决算中，因公出国（境）费支出决算</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%；公务用车购置及运行维护费支出决算</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%；公务接待费支出决算</w:t>
      </w:r>
      <w:r>
        <w:rPr>
          <w:rFonts w:hint="default" w:ascii="Times New Roman" w:hAnsi="Times New Roman" w:eastAsia="仿宋" w:cs="Times New Roman"/>
          <w:color w:val="auto"/>
          <w:sz w:val="32"/>
          <w:szCs w:val="32"/>
          <w:highlight w:val="none"/>
          <w:lang w:val="en-US" w:eastAsia="zh-CN"/>
        </w:rPr>
        <w:t>0.81</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%。具体情况如下：</w:t>
      </w:r>
    </w:p>
    <w:p>
      <w:pPr>
        <w:pageBreakBefore w:val="0"/>
        <w:kinsoku/>
        <w:wordWrap/>
        <w:overflowPunct/>
        <w:topLinePunct w:val="0"/>
        <w:bidi w:val="0"/>
        <w:spacing w:line="540" w:lineRule="exact"/>
        <w:ind w:firstLine="64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（图7：“三公”经费财政拨款支出结构）（饼状图）</w:t>
      </w:r>
    </w:p>
    <w:p>
      <w:pPr>
        <w:pStyle w:val="12"/>
        <w:rPr>
          <w:rFonts w:hint="default" w:ascii="Times New Roman" w:hAnsi="Times New Roman" w:eastAsia="仿宋" w:cs="Times New Roman"/>
          <w:color w:val="auto"/>
          <w:sz w:val="32"/>
          <w:szCs w:val="32"/>
          <w:highlight w:val="none"/>
        </w:rPr>
      </w:pPr>
    </w:p>
    <w:p>
      <w:pPr>
        <w:rPr>
          <w:rFonts w:hint="default" w:ascii="Times New Roman" w:hAnsi="Times New Roman" w:eastAsia="仿宋" w:cs="Times New Roman"/>
          <w:color w:val="auto"/>
          <w:sz w:val="32"/>
          <w:szCs w:val="32"/>
          <w:highlight w:val="none"/>
        </w:rPr>
      </w:pPr>
    </w:p>
    <w:p>
      <w:pPr>
        <w:pStyle w:val="2"/>
        <w:rPr>
          <w:rFonts w:hint="default"/>
        </w:rPr>
      </w:pPr>
    </w:p>
    <w:p>
      <w:pPr>
        <w:pStyle w:val="2"/>
        <w:pageBreakBefore w:val="0"/>
        <w:kinsoku/>
        <w:wordWrap/>
        <w:overflowPunct/>
        <w:topLinePunct w:val="0"/>
        <w:bidi w:val="0"/>
        <w:spacing w:line="540" w:lineRule="exact"/>
        <w:textAlignment w:val="auto"/>
        <w:rPr>
          <w:rFonts w:hint="default" w:ascii="Times New Roman" w:hAnsi="Times New Roman" w:eastAsia="仿宋" w:cs="Times New Roman"/>
          <w:color w:val="auto"/>
          <w:sz w:val="32"/>
          <w:szCs w:val="32"/>
          <w:highlight w:val="none"/>
        </w:rPr>
      </w:pPr>
    </w:p>
    <w:p>
      <w:pPr>
        <w:pStyle w:val="2"/>
        <w:pageBreakBefore w:val="0"/>
        <w:kinsoku/>
        <w:wordWrap/>
        <w:overflowPunct/>
        <w:topLinePunct w:val="0"/>
        <w:bidi w:val="0"/>
        <w:spacing w:line="540" w:lineRule="exact"/>
        <w:textAlignment w:val="auto"/>
        <w:rPr>
          <w:rFonts w:hint="default" w:ascii="Times New Roman" w:hAnsi="Times New Roman" w:eastAsia="仿宋" w:cs="Times New Roman"/>
          <w:color w:val="auto"/>
          <w:sz w:val="32"/>
          <w:szCs w:val="32"/>
          <w:highlight w:val="none"/>
        </w:rPr>
      </w:pPr>
    </w:p>
    <w:p>
      <w:pPr>
        <w:pStyle w:val="2"/>
        <w:pageBreakBefore w:val="0"/>
        <w:kinsoku/>
        <w:wordWrap/>
        <w:overflowPunct/>
        <w:topLinePunct w:val="0"/>
        <w:bidi w:val="0"/>
        <w:spacing w:line="540" w:lineRule="exact"/>
        <w:textAlignment w:val="auto"/>
        <w:rPr>
          <w:rFonts w:hint="default" w:ascii="Times New Roman" w:hAnsi="Times New Roman" w:eastAsia="仿宋" w:cs="Times New Roman"/>
          <w:color w:val="auto"/>
          <w:sz w:val="32"/>
          <w:szCs w:val="32"/>
          <w:highlight w:val="none"/>
        </w:rPr>
      </w:pPr>
    </w:p>
    <w:p>
      <w:pPr>
        <w:pStyle w:val="2"/>
        <w:pageBreakBefore w:val="0"/>
        <w:kinsoku/>
        <w:wordWrap/>
        <w:overflowPunct/>
        <w:topLinePunct w:val="0"/>
        <w:bidi w:val="0"/>
        <w:spacing w:line="540" w:lineRule="exact"/>
        <w:jc w:val="center"/>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drawing>
          <wp:anchor distT="0" distB="0" distL="114300" distR="114300" simplePos="0" relativeHeight="251662336" behindDoc="0" locked="0" layoutInCell="1" allowOverlap="1">
            <wp:simplePos x="0" y="0"/>
            <wp:positionH relativeFrom="column">
              <wp:posOffset>259715</wp:posOffset>
            </wp:positionH>
            <wp:positionV relativeFrom="paragraph">
              <wp:posOffset>-2157095</wp:posOffset>
            </wp:positionV>
            <wp:extent cx="5080000" cy="2477770"/>
            <wp:effectExtent l="4445" t="4445" r="20955" b="13335"/>
            <wp:wrapNone/>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pStyle w:val="2"/>
        <w:pageBreakBefore w:val="0"/>
        <w:kinsoku/>
        <w:wordWrap/>
        <w:overflowPunct/>
        <w:topLinePunct w:val="0"/>
        <w:bidi w:val="0"/>
        <w:spacing w:line="540" w:lineRule="exact"/>
        <w:textAlignment w:val="auto"/>
        <w:rPr>
          <w:rFonts w:hint="default" w:ascii="Times New Roman" w:hAnsi="Times New Roman" w:eastAsia="仿宋" w:cs="Times New Roman"/>
          <w:color w:val="auto"/>
          <w:sz w:val="32"/>
          <w:szCs w:val="32"/>
          <w:highlight w:val="none"/>
        </w:rPr>
      </w:pPr>
    </w:p>
    <w:p>
      <w:pPr>
        <w:pageBreakBefore w:val="0"/>
        <w:kinsoku/>
        <w:wordWrap/>
        <w:overflowPunct/>
        <w:topLinePunct w:val="0"/>
        <w:bidi w:val="0"/>
        <w:spacing w:line="540" w:lineRule="exact"/>
        <w:ind w:firstLine="64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1.因公出国（境）经费支出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Style w:val="16"/>
          <w:rFonts w:hint="default" w:ascii="Times New Roman" w:hAnsi="Times New Roman" w:eastAsia="仿宋" w:cs="Times New Roman"/>
          <w:b w:val="0"/>
          <w:bCs/>
          <w:color w:val="auto"/>
          <w:sz w:val="32"/>
          <w:szCs w:val="32"/>
          <w:highlight w:val="none"/>
        </w:rPr>
        <w:t>完成预算</w:t>
      </w:r>
      <w:r>
        <w:rPr>
          <w:rStyle w:val="16"/>
          <w:rFonts w:hint="default" w:ascii="Times New Roman" w:hAnsi="Times New Roman" w:eastAsia="仿宋" w:cs="Times New Roman"/>
          <w:b w:val="0"/>
          <w:bCs/>
          <w:color w:val="auto"/>
          <w:sz w:val="32"/>
          <w:szCs w:val="32"/>
          <w:highlight w:val="none"/>
          <w:lang w:val="en-US" w:eastAsia="zh-CN"/>
        </w:rPr>
        <w:t>0</w:t>
      </w:r>
      <w:r>
        <w:rPr>
          <w:rStyle w:val="16"/>
          <w:rFonts w:hint="default" w:ascii="Times New Roman" w:hAnsi="Times New Roman" w:eastAsia="仿宋"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全年安排因公出国（境）团组</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次，出国（境）</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人。</w:t>
      </w:r>
      <w:r>
        <w:rPr>
          <w:rFonts w:hint="eastAsia" w:ascii="Times New Roman" w:hAnsi="Times New Roman" w:eastAsia="仿宋_GB2312" w:cs="Times New Roman"/>
          <w:color w:val="auto"/>
          <w:sz w:val="32"/>
          <w:szCs w:val="32"/>
          <w:highlight w:val="none"/>
          <w:lang w:val="en-US" w:eastAsia="zh-CN"/>
        </w:rPr>
        <w:t>因公出国（境）支出决算</w:t>
      </w:r>
      <w:r>
        <w:rPr>
          <w:rFonts w:hint="eastAsia" w:eastAsia="仿宋_GB2312" w:cs="Times New Roman"/>
          <w:color w:val="auto"/>
          <w:sz w:val="32"/>
          <w:szCs w:val="32"/>
          <w:highlight w:val="none"/>
          <w:lang w:val="en-US" w:eastAsia="zh-CN"/>
        </w:rPr>
        <w:t>与</w:t>
      </w:r>
      <w:r>
        <w:rPr>
          <w:rFonts w:hint="eastAsia" w:ascii="Times New Roman" w:hAnsi="Times New Roman" w:eastAsia="仿宋_GB2312" w:cs="Times New Roman"/>
          <w:color w:val="auto"/>
          <w:sz w:val="32"/>
          <w:szCs w:val="32"/>
          <w:highlight w:val="none"/>
          <w:lang w:val="en-US" w:eastAsia="zh-CN"/>
        </w:rPr>
        <w:t>2021年</w:t>
      </w:r>
      <w:r>
        <w:rPr>
          <w:rFonts w:hint="eastAsia" w:eastAsia="仿宋_GB2312" w:cs="Times New Roman"/>
          <w:color w:val="auto"/>
          <w:sz w:val="32"/>
          <w:szCs w:val="32"/>
          <w:highlight w:val="none"/>
          <w:lang w:val="en-US" w:eastAsia="zh-CN"/>
        </w:rPr>
        <w:t>持平</w:t>
      </w:r>
      <w:r>
        <w:rPr>
          <w:rFonts w:hint="eastAsia" w:ascii="Times New Roman" w:hAnsi="Times New Roman" w:eastAsia="仿宋_GB2312" w:cs="Times New Roman"/>
          <w:color w:val="auto"/>
          <w:sz w:val="32"/>
          <w:szCs w:val="32"/>
          <w:highlight w:val="none"/>
          <w:lang w:val="en-US" w:eastAsia="zh-CN"/>
        </w:rPr>
        <w:t>。</w:t>
      </w:r>
    </w:p>
    <w:p>
      <w:pPr>
        <w:pageBreakBefore w:val="0"/>
        <w:kinsoku/>
        <w:wordWrap/>
        <w:overflowPunct/>
        <w:topLinePunct w:val="0"/>
        <w:bidi w:val="0"/>
        <w:spacing w:line="540" w:lineRule="exact"/>
        <w:ind w:firstLine="64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2.公务用车购置及运行维护费支出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Style w:val="16"/>
          <w:rFonts w:hint="default" w:ascii="Times New Roman" w:hAnsi="Times New Roman" w:eastAsia="仿宋" w:cs="Times New Roman"/>
          <w:b w:val="0"/>
          <w:bCs/>
          <w:color w:val="auto"/>
          <w:sz w:val="32"/>
          <w:szCs w:val="32"/>
          <w:highlight w:val="none"/>
        </w:rPr>
        <w:t>完成预算</w:t>
      </w:r>
      <w:r>
        <w:rPr>
          <w:rStyle w:val="16"/>
          <w:rFonts w:hint="default" w:ascii="Times New Roman" w:hAnsi="Times New Roman" w:eastAsia="仿宋" w:cs="Times New Roman"/>
          <w:b w:val="0"/>
          <w:bCs/>
          <w:color w:val="auto"/>
          <w:sz w:val="32"/>
          <w:szCs w:val="32"/>
          <w:highlight w:val="none"/>
          <w:lang w:val="en-US" w:eastAsia="zh-CN"/>
        </w:rPr>
        <w:t>0</w:t>
      </w:r>
      <w:r>
        <w:rPr>
          <w:rStyle w:val="16"/>
          <w:rFonts w:hint="default" w:ascii="Times New Roman" w:hAnsi="Times New Roman" w:eastAsia="仿宋"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公务用车购置及运行维护费支出决算</w:t>
      </w:r>
      <w:r>
        <w:rPr>
          <w:rFonts w:hint="eastAsia" w:eastAsia="仿宋_GB2312" w:cs="Times New Roman"/>
          <w:color w:val="auto"/>
          <w:sz w:val="32"/>
          <w:szCs w:val="32"/>
          <w:highlight w:val="none"/>
          <w:lang w:val="en-US" w:eastAsia="zh-CN"/>
        </w:rPr>
        <w:t>与</w:t>
      </w:r>
      <w:r>
        <w:rPr>
          <w:rFonts w:hint="eastAsia" w:ascii="Times New Roman" w:hAnsi="Times New Roman" w:eastAsia="仿宋_GB2312" w:cs="Times New Roman"/>
          <w:color w:val="auto"/>
          <w:sz w:val="32"/>
          <w:szCs w:val="32"/>
          <w:highlight w:val="none"/>
          <w:lang w:val="en-US" w:eastAsia="zh-CN"/>
        </w:rPr>
        <w:t>2021年</w:t>
      </w:r>
      <w:r>
        <w:rPr>
          <w:rFonts w:hint="eastAsia" w:eastAsia="仿宋_GB2312" w:cs="Times New Roman"/>
          <w:color w:val="auto"/>
          <w:sz w:val="32"/>
          <w:szCs w:val="32"/>
          <w:highlight w:val="none"/>
          <w:lang w:val="en-US" w:eastAsia="zh-CN"/>
        </w:rPr>
        <w:t>持平</w:t>
      </w:r>
      <w:r>
        <w:rPr>
          <w:rFonts w:hint="eastAsia" w:ascii="Times New Roman" w:hAnsi="Times New Roman" w:eastAsia="仿宋_GB2312" w:cs="Times New Roman"/>
          <w:color w:val="auto"/>
          <w:sz w:val="32"/>
          <w:szCs w:val="32"/>
          <w:highlight w:val="none"/>
          <w:lang w:val="en-US" w:eastAsia="zh-CN"/>
        </w:rPr>
        <w:t>。</w:t>
      </w:r>
    </w:p>
    <w:p>
      <w:pPr>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其中</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
          <w:color w:val="auto"/>
          <w:sz w:val="32"/>
          <w:szCs w:val="32"/>
          <w:highlight w:val="none"/>
        </w:rPr>
        <w:t>公务用车购置支出</w:t>
      </w:r>
      <w:r>
        <w:rPr>
          <w:rFonts w:hint="default" w:ascii="Times New Roman" w:hAnsi="Times New Roman" w:eastAsia="仿宋_GB2312" w:cs="Times New Roman"/>
          <w:b/>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万元。全年按规定更新购置公务用车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辆，其中：轿车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辆、金额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万元，越野车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辆、金额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万元，载客汽车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辆、金额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万元。截至20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年12月底，单位共有公务用车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辆，其中：轿车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辆、越野车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辆、载客汽车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w:t>
      </w:r>
    </w:p>
    <w:p>
      <w:pPr>
        <w:pageBreakBefore w:val="0"/>
        <w:kinsoku/>
        <w:wordWrap/>
        <w:overflowPunct/>
        <w:topLinePunct w:val="0"/>
        <w:bidi w:val="0"/>
        <w:spacing w:line="54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公务用车运行维护费支出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pageBreakBefore w:val="0"/>
        <w:kinsoku/>
        <w:wordWrap/>
        <w:overflowPunct/>
        <w:topLinePunct w:val="0"/>
        <w:bidi w:val="0"/>
        <w:spacing w:line="54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3.公务接待费支出</w:t>
      </w:r>
      <w:r>
        <w:rPr>
          <w:rFonts w:hint="default" w:ascii="Times New Roman" w:hAnsi="Times New Roman" w:eastAsia="仿宋_GB2312" w:cs="Times New Roman"/>
          <w:color w:val="auto"/>
          <w:sz w:val="32"/>
          <w:szCs w:val="32"/>
          <w:highlight w:val="none"/>
          <w:lang w:val="en-US" w:eastAsia="zh-CN"/>
        </w:rPr>
        <w:t>0.81</w:t>
      </w:r>
      <w:r>
        <w:rPr>
          <w:rFonts w:hint="default" w:ascii="Times New Roman" w:hAnsi="Times New Roman" w:eastAsia="仿宋_GB2312" w:cs="Times New Roman"/>
          <w:color w:val="auto"/>
          <w:sz w:val="32"/>
          <w:szCs w:val="32"/>
          <w:highlight w:val="none"/>
        </w:rPr>
        <w:t>万元，</w:t>
      </w:r>
      <w:r>
        <w:rPr>
          <w:rStyle w:val="16"/>
          <w:rFonts w:hint="default" w:ascii="Times New Roman" w:hAnsi="Times New Roman" w:eastAsia="仿宋" w:cs="Times New Roman"/>
          <w:b w:val="0"/>
          <w:bCs/>
          <w:color w:val="auto"/>
          <w:sz w:val="32"/>
          <w:szCs w:val="32"/>
          <w:highlight w:val="none"/>
        </w:rPr>
        <w:t>完成预算</w:t>
      </w:r>
      <w:r>
        <w:rPr>
          <w:rStyle w:val="16"/>
          <w:rFonts w:hint="default" w:ascii="Times New Roman" w:hAnsi="Times New Roman" w:eastAsia="仿宋" w:cs="Times New Roman"/>
          <w:b w:val="0"/>
          <w:bCs/>
          <w:color w:val="auto"/>
          <w:sz w:val="32"/>
          <w:szCs w:val="32"/>
          <w:highlight w:val="none"/>
          <w:lang w:val="en-US" w:eastAsia="zh-CN"/>
        </w:rPr>
        <w:t>100</w:t>
      </w:r>
      <w:r>
        <w:rPr>
          <w:rStyle w:val="16"/>
          <w:rFonts w:hint="default" w:ascii="Times New Roman" w:hAnsi="Times New Roman" w:eastAsia="仿宋"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公务接待费支出决算比20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年增加</w:t>
      </w:r>
      <w:r>
        <w:rPr>
          <w:rFonts w:hint="default" w:ascii="Times New Roman" w:hAnsi="Times New Roman" w:eastAsia="仿宋_GB2312" w:cs="Times New Roman"/>
          <w:color w:val="auto"/>
          <w:sz w:val="32"/>
          <w:szCs w:val="32"/>
          <w:highlight w:val="none"/>
          <w:lang w:val="en-US" w:eastAsia="zh-CN"/>
        </w:rPr>
        <w:t>0.11</w:t>
      </w:r>
      <w:r>
        <w:rPr>
          <w:rFonts w:hint="default" w:ascii="Times New Roman" w:hAnsi="Times New Roman" w:eastAsia="仿宋_GB2312" w:cs="Times New Roman"/>
          <w:color w:val="auto"/>
          <w:sz w:val="32"/>
          <w:szCs w:val="32"/>
          <w:highlight w:val="none"/>
        </w:rPr>
        <w:t>万元，增</w:t>
      </w:r>
      <w:r>
        <w:rPr>
          <w:rFonts w:hint="default" w:ascii="Times New Roman" w:hAnsi="Times New Roman" w:eastAsia="仿宋_GB2312" w:cs="Times New Roman"/>
          <w:color w:val="auto"/>
          <w:sz w:val="32"/>
          <w:szCs w:val="32"/>
          <w:highlight w:val="none"/>
          <w:lang w:eastAsia="zh-CN"/>
        </w:rPr>
        <w:t>加</w:t>
      </w:r>
      <w:r>
        <w:rPr>
          <w:rFonts w:hint="default" w:ascii="Times New Roman" w:hAnsi="Times New Roman" w:eastAsia="仿宋_GB2312" w:cs="Times New Roman"/>
          <w:color w:val="auto"/>
          <w:sz w:val="32"/>
          <w:szCs w:val="32"/>
          <w:highlight w:val="none"/>
          <w:lang w:val="en-US" w:eastAsia="zh-CN"/>
        </w:rPr>
        <w:t>15.71</w:t>
      </w:r>
      <w:r>
        <w:rPr>
          <w:rFonts w:hint="default" w:ascii="Times New Roman" w:hAnsi="Times New Roman" w:eastAsia="仿宋_GB2312" w:cs="Times New Roman"/>
          <w:color w:val="auto"/>
          <w:sz w:val="32"/>
          <w:szCs w:val="32"/>
          <w:highlight w:val="none"/>
        </w:rPr>
        <w:t>%。主要原因是</w:t>
      </w:r>
      <w:r>
        <w:rPr>
          <w:rFonts w:hint="default" w:ascii="Times New Roman" w:hAnsi="Times New Roman" w:eastAsia="仿宋_GB2312" w:cs="Times New Roman"/>
          <w:color w:val="auto"/>
          <w:sz w:val="32"/>
          <w:szCs w:val="32"/>
          <w:highlight w:val="none"/>
          <w:lang w:eastAsia="zh-CN"/>
        </w:rPr>
        <w:t>本年度预算增加，由于工作需要近两年省内、省外来巴中调研考察交流学习史志工作相对频繁因此费用增加。</w:t>
      </w:r>
    </w:p>
    <w:p>
      <w:pPr>
        <w:pageBreakBefore w:val="0"/>
        <w:kinsoku/>
        <w:wordWrap/>
        <w:overflowPunct/>
        <w:topLinePunct w:val="0"/>
        <w:bidi w:val="0"/>
        <w:spacing w:line="54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 w:cs="Times New Roman"/>
          <w:b/>
          <w:color w:val="auto"/>
          <w:sz w:val="32"/>
          <w:szCs w:val="32"/>
          <w:highlight w:val="none"/>
        </w:rPr>
        <w:t>国内公务接待支出</w:t>
      </w:r>
      <w:r>
        <w:rPr>
          <w:rFonts w:hint="default" w:ascii="Times New Roman" w:hAnsi="Times New Roman" w:eastAsia="仿宋" w:cs="Times New Roman"/>
          <w:color w:val="auto"/>
          <w:sz w:val="32"/>
          <w:szCs w:val="32"/>
          <w:highlight w:val="none"/>
          <w:lang w:val="en-US" w:eastAsia="zh-CN"/>
        </w:rPr>
        <w:t>0.81</w:t>
      </w:r>
      <w:r>
        <w:rPr>
          <w:rFonts w:hint="default" w:ascii="Times New Roman" w:hAnsi="Times New Roman" w:eastAsia="仿宋_GB2312" w:cs="Times New Roman"/>
          <w:color w:val="auto"/>
          <w:sz w:val="32"/>
          <w:szCs w:val="32"/>
          <w:highlight w:val="none"/>
        </w:rPr>
        <w:t>万元，主要用于</w:t>
      </w:r>
      <w:r>
        <w:rPr>
          <w:rFonts w:hint="default" w:ascii="Times New Roman" w:hAnsi="Times New Roman" w:eastAsia="方正仿宋_GBK" w:cs="Times New Roman"/>
          <w:color w:val="000000"/>
          <w:sz w:val="32"/>
          <w:szCs w:val="32"/>
          <w:lang w:bidi="ar-SA"/>
        </w:rPr>
        <w:t>开展党史地方志工作</w:t>
      </w:r>
      <w:r>
        <w:rPr>
          <w:rFonts w:hint="default" w:ascii="Times New Roman" w:hAnsi="Times New Roman" w:eastAsia="方正仿宋_GBK" w:cs="Times New Roman"/>
          <w:color w:val="000000"/>
          <w:sz w:val="32"/>
          <w:szCs w:val="32"/>
          <w:lang w:eastAsia="zh-CN" w:bidi="ar-SA"/>
        </w:rPr>
        <w:t>，</w:t>
      </w:r>
      <w:r>
        <w:rPr>
          <w:rFonts w:hint="default" w:ascii="Times New Roman" w:hAnsi="Times New Roman" w:eastAsia="方正仿宋_GBK" w:cs="Times New Roman"/>
          <w:color w:val="000000"/>
          <w:sz w:val="32"/>
          <w:szCs w:val="32"/>
          <w:lang w:bidi="ar-SA"/>
        </w:rPr>
        <w:t>各市（州）、县（区）</w:t>
      </w:r>
      <w:r>
        <w:rPr>
          <w:rFonts w:hint="default" w:ascii="Times New Roman" w:hAnsi="Times New Roman" w:eastAsia="方正仿宋_GBK" w:cs="Times New Roman"/>
          <w:color w:val="000000"/>
          <w:sz w:val="32"/>
          <w:szCs w:val="32"/>
          <w:lang w:eastAsia="zh-CN" w:bidi="ar-SA"/>
        </w:rPr>
        <w:t>及省外</w:t>
      </w:r>
      <w:r>
        <w:rPr>
          <w:rFonts w:hint="default" w:ascii="Times New Roman" w:hAnsi="Times New Roman" w:eastAsia="方正仿宋_GBK" w:cs="Times New Roman"/>
          <w:color w:val="000000"/>
          <w:sz w:val="32"/>
          <w:szCs w:val="32"/>
          <w:lang w:bidi="ar-SA"/>
        </w:rPr>
        <w:t>党史地方志系统来巴调研交流学习考察等开支的公务接待支出</w:t>
      </w:r>
      <w:r>
        <w:rPr>
          <w:rFonts w:hint="default" w:ascii="Times New Roman" w:hAnsi="Times New Roman" w:eastAsia="仿宋_GB2312" w:cs="Times New Roman"/>
          <w:color w:val="auto"/>
          <w:sz w:val="32"/>
          <w:szCs w:val="32"/>
          <w:highlight w:val="none"/>
        </w:rPr>
        <w:t>。国内公务接待</w:t>
      </w: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批次，</w:t>
      </w:r>
      <w:r>
        <w:rPr>
          <w:rFonts w:hint="default" w:ascii="Times New Roman" w:hAnsi="Times New Roman" w:eastAsia="仿宋_GB2312" w:cs="Times New Roman"/>
          <w:color w:val="auto"/>
          <w:sz w:val="32"/>
          <w:szCs w:val="32"/>
          <w:highlight w:val="none"/>
          <w:lang w:val="en-US" w:eastAsia="zh-CN"/>
        </w:rPr>
        <w:t>60</w:t>
      </w:r>
      <w:r>
        <w:rPr>
          <w:rFonts w:hint="default" w:ascii="Times New Roman" w:hAnsi="Times New Roman" w:eastAsia="仿宋_GB2312" w:cs="Times New Roman"/>
          <w:color w:val="auto"/>
          <w:sz w:val="32"/>
          <w:szCs w:val="32"/>
          <w:highlight w:val="none"/>
        </w:rPr>
        <w:t>人次（不包括陪同人员），共计支出</w:t>
      </w:r>
      <w:r>
        <w:rPr>
          <w:rFonts w:hint="default" w:ascii="Times New Roman" w:hAnsi="Times New Roman" w:eastAsia="仿宋_GB2312" w:cs="Times New Roman"/>
          <w:color w:val="auto"/>
          <w:sz w:val="32"/>
          <w:szCs w:val="32"/>
          <w:highlight w:val="none"/>
          <w:lang w:val="en-US" w:eastAsia="zh-CN"/>
        </w:rPr>
        <w:t>0.81</w:t>
      </w:r>
      <w:r>
        <w:rPr>
          <w:rFonts w:hint="default" w:ascii="Times New Roman" w:hAnsi="Times New Roman" w:eastAsia="仿宋_GB2312" w:cs="Times New Roman"/>
          <w:color w:val="auto"/>
          <w:sz w:val="32"/>
          <w:szCs w:val="32"/>
          <w:highlight w:val="none"/>
        </w:rPr>
        <w:t>万元，具体内容包括：</w:t>
      </w:r>
      <w:r>
        <w:rPr>
          <w:rFonts w:hint="default" w:ascii="Times New Roman" w:hAnsi="Times New Roman" w:eastAsia="仿宋_GB2312" w:cs="Times New Roman"/>
          <w:color w:val="auto"/>
          <w:sz w:val="32"/>
          <w:szCs w:val="32"/>
          <w:highlight w:val="none"/>
          <w:lang w:eastAsia="zh-CN"/>
        </w:rPr>
        <w:t>广安市地方志办公室一行</w:t>
      </w:r>
      <w:r>
        <w:rPr>
          <w:rFonts w:hint="default" w:ascii="Times New Roman" w:hAnsi="Times New Roman" w:eastAsia="仿宋_GB2312" w:cs="Times New Roman"/>
          <w:color w:val="auto"/>
          <w:sz w:val="32"/>
          <w:szCs w:val="32"/>
          <w:highlight w:val="none"/>
          <w:lang w:val="en-US" w:eastAsia="zh-CN"/>
        </w:rPr>
        <w:t>10人</w:t>
      </w:r>
      <w:r>
        <w:rPr>
          <w:rFonts w:hint="default" w:ascii="Times New Roman" w:hAnsi="Times New Roman" w:eastAsia="仿宋_GB2312" w:cs="Times New Roman"/>
          <w:color w:val="auto"/>
          <w:sz w:val="32"/>
          <w:szCs w:val="32"/>
          <w:highlight w:val="none"/>
          <w:lang w:eastAsia="zh-CN"/>
        </w:rPr>
        <w:t>来巴交流学习史志业务，接待费</w:t>
      </w:r>
      <w:r>
        <w:rPr>
          <w:rFonts w:hint="default" w:ascii="Times New Roman" w:hAnsi="Times New Roman" w:eastAsia="仿宋_GB2312" w:cs="Times New Roman"/>
          <w:color w:val="auto"/>
          <w:sz w:val="32"/>
          <w:szCs w:val="32"/>
          <w:highlight w:val="none"/>
          <w:lang w:val="en-US" w:eastAsia="zh-CN"/>
        </w:rPr>
        <w:t>1260元（含陪餐人员）；通江县党史办、通江县教体局、川陕革命根据地红军烈士纪念馆一行8人来巴汇报史志工作及文旅融合示范项目工作，接待费1000元（含陪餐人员）；达州党史研究室一行4人来巴交流调研史志工作，接待费636元（含陪餐人员）等。</w:t>
      </w:r>
    </w:p>
    <w:p>
      <w:pPr>
        <w:pageBreakBefore w:val="0"/>
        <w:kinsoku/>
        <w:wordWrap/>
        <w:overflowPunct/>
        <w:topLinePunct w:val="0"/>
        <w:bidi w:val="0"/>
        <w:spacing w:line="54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 w:cs="Times New Roman"/>
          <w:b/>
          <w:color w:val="auto"/>
          <w:sz w:val="32"/>
          <w:szCs w:val="32"/>
          <w:highlight w:val="none"/>
        </w:rPr>
        <w:t>外事接待支出</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外事接待</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批次，</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人</w:t>
      </w:r>
      <w:r>
        <w:rPr>
          <w:rFonts w:hint="default" w:ascii="Times New Roman" w:hAnsi="Times New Roman" w:eastAsia="仿宋_GB2312" w:cs="Times New Roman"/>
          <w:color w:val="auto"/>
          <w:sz w:val="32"/>
          <w:szCs w:val="32"/>
          <w:highlight w:val="none"/>
          <w:lang w:eastAsia="zh-CN"/>
        </w:rPr>
        <w:t>次（不包括陪同人员）</w:t>
      </w:r>
      <w:r>
        <w:rPr>
          <w:rFonts w:hint="default" w:ascii="Times New Roman" w:hAnsi="Times New Roman" w:eastAsia="仿宋_GB2312" w:cs="Times New Roman"/>
          <w:color w:val="auto"/>
          <w:sz w:val="32"/>
          <w:szCs w:val="32"/>
          <w:highlight w:val="none"/>
        </w:rPr>
        <w:t>，共计支出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pageBreakBefore w:val="0"/>
        <w:kinsoku/>
        <w:wordWrap/>
        <w:overflowPunct/>
        <w:topLinePunct w:val="0"/>
        <w:bidi w:val="0"/>
        <w:spacing w:line="540" w:lineRule="exact"/>
        <w:ind w:firstLine="640"/>
        <w:textAlignment w:val="auto"/>
        <w:outlineLvl w:val="1"/>
        <w:rPr>
          <w:rStyle w:val="29"/>
          <w:rFonts w:hint="default" w:ascii="Times New Roman" w:hAnsi="Times New Roman" w:eastAsia="黑体" w:cs="Times New Roman"/>
          <w:color w:val="auto"/>
          <w:highlight w:val="none"/>
        </w:rPr>
      </w:pPr>
      <w:bookmarkStart w:id="64" w:name="_Toc15377218"/>
      <w:bookmarkStart w:id="65" w:name="_Toc15396610"/>
      <w:bookmarkStart w:id="66" w:name="_Toc6418"/>
      <w:r>
        <w:rPr>
          <w:rFonts w:hint="default" w:ascii="Times New Roman" w:hAnsi="Times New Roman" w:eastAsia="黑体" w:cs="Times New Roman"/>
          <w:color w:val="auto"/>
          <w:sz w:val="32"/>
          <w:szCs w:val="32"/>
          <w:highlight w:val="none"/>
        </w:rPr>
        <w:t>八、</w:t>
      </w:r>
      <w:r>
        <w:rPr>
          <w:rStyle w:val="29"/>
          <w:rFonts w:hint="default" w:ascii="Times New Roman" w:hAnsi="Times New Roman" w:eastAsia="黑体" w:cs="Times New Roman"/>
          <w:b w:val="0"/>
          <w:color w:val="auto"/>
          <w:highlight w:val="none"/>
        </w:rPr>
        <w:t>政府性基金预算支出决算情况说明</w:t>
      </w:r>
      <w:bookmarkEnd w:id="64"/>
      <w:bookmarkEnd w:id="65"/>
      <w:bookmarkEnd w:id="66"/>
    </w:p>
    <w:p>
      <w:pPr>
        <w:pageBreakBefore w:val="0"/>
        <w:kinsoku/>
        <w:wordWrap/>
        <w:overflowPunct/>
        <w:topLinePunct w:val="0"/>
        <w:bidi w:val="0"/>
        <w:spacing w:line="54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年政府性基金预算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pageBreakBefore w:val="0"/>
        <w:numPr>
          <w:ilvl w:val="0"/>
          <w:numId w:val="1"/>
        </w:numPr>
        <w:kinsoku/>
        <w:wordWrap/>
        <w:overflowPunct/>
        <w:topLinePunct w:val="0"/>
        <w:bidi w:val="0"/>
        <w:spacing w:line="540" w:lineRule="exact"/>
        <w:ind w:firstLine="640"/>
        <w:textAlignment w:val="auto"/>
        <w:outlineLvl w:val="1"/>
        <w:rPr>
          <w:rStyle w:val="29"/>
          <w:rFonts w:hint="default" w:ascii="Times New Roman" w:hAnsi="Times New Roman" w:eastAsia="黑体" w:cs="Times New Roman"/>
          <w:b w:val="0"/>
          <w:color w:val="auto"/>
          <w:highlight w:val="none"/>
        </w:rPr>
      </w:pPr>
      <w:bookmarkStart w:id="67" w:name="_Toc15396611"/>
      <w:bookmarkStart w:id="68" w:name="_Toc14989"/>
      <w:bookmarkStart w:id="69" w:name="_Toc15377219"/>
      <w:r>
        <w:rPr>
          <w:rStyle w:val="29"/>
          <w:rFonts w:hint="default" w:ascii="Times New Roman" w:hAnsi="Times New Roman" w:eastAsia="黑体" w:cs="Times New Roman"/>
          <w:b w:val="0"/>
          <w:color w:val="auto"/>
          <w:highlight w:val="none"/>
        </w:rPr>
        <w:t>国有资本经营预算支出决算情况说明</w:t>
      </w:r>
      <w:bookmarkEnd w:id="67"/>
      <w:bookmarkEnd w:id="68"/>
      <w:bookmarkEnd w:id="69"/>
    </w:p>
    <w:p>
      <w:pPr>
        <w:pageBreakBefore w:val="0"/>
        <w:kinsoku/>
        <w:wordWrap/>
        <w:overflowPunct/>
        <w:topLinePunct w:val="0"/>
        <w:bidi w:val="0"/>
        <w:spacing w:line="54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年国有资本经营预算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pageBreakBefore w:val="0"/>
        <w:numPr>
          <w:ilvl w:val="0"/>
          <w:numId w:val="1"/>
        </w:numPr>
        <w:kinsoku/>
        <w:wordWrap/>
        <w:overflowPunct/>
        <w:topLinePunct w:val="0"/>
        <w:bidi w:val="0"/>
        <w:spacing w:line="540" w:lineRule="exact"/>
        <w:ind w:firstLine="640"/>
        <w:textAlignment w:val="auto"/>
        <w:outlineLvl w:val="1"/>
        <w:rPr>
          <w:rStyle w:val="29"/>
          <w:rFonts w:hint="default" w:ascii="Times New Roman" w:hAnsi="Times New Roman" w:eastAsia="黑体" w:cs="Times New Roman"/>
          <w:b w:val="0"/>
          <w:color w:val="auto"/>
          <w:highlight w:val="none"/>
        </w:rPr>
      </w:pPr>
      <w:bookmarkStart w:id="70" w:name="_Toc15396612"/>
      <w:bookmarkStart w:id="71" w:name="_Toc30716"/>
      <w:bookmarkStart w:id="72" w:name="_Toc15377221"/>
      <w:r>
        <w:rPr>
          <w:rStyle w:val="29"/>
          <w:rFonts w:hint="default" w:ascii="Times New Roman" w:hAnsi="Times New Roman" w:eastAsia="黑体" w:cs="Times New Roman"/>
          <w:b w:val="0"/>
          <w:color w:val="auto"/>
          <w:highlight w:val="none"/>
        </w:rPr>
        <w:t>其他重要事项的情况说明</w:t>
      </w:r>
      <w:bookmarkEnd w:id="70"/>
      <w:bookmarkEnd w:id="71"/>
      <w:bookmarkEnd w:id="72"/>
    </w:p>
    <w:p>
      <w:pPr>
        <w:pageBreakBefore w:val="0"/>
        <w:kinsoku/>
        <w:wordWrap/>
        <w:overflowPunct/>
        <w:topLinePunct w:val="0"/>
        <w:bidi w:val="0"/>
        <w:spacing w:line="540" w:lineRule="exact"/>
        <w:ind w:firstLine="643" w:firstLineChars="200"/>
        <w:textAlignment w:val="auto"/>
        <w:outlineLvl w:val="2"/>
        <w:rPr>
          <w:rFonts w:hint="default" w:ascii="Times New Roman" w:hAnsi="Times New Roman" w:eastAsia="仿宋" w:cs="Times New Roman"/>
          <w:color w:val="auto"/>
          <w:sz w:val="32"/>
          <w:szCs w:val="32"/>
          <w:highlight w:val="none"/>
        </w:rPr>
      </w:pPr>
      <w:bookmarkStart w:id="73" w:name="_Toc15377222"/>
      <w:r>
        <w:rPr>
          <w:rFonts w:hint="default" w:ascii="Times New Roman" w:hAnsi="Times New Roman" w:eastAsia="仿宋" w:cs="Times New Roman"/>
          <w:b/>
          <w:color w:val="auto"/>
          <w:sz w:val="32"/>
          <w:szCs w:val="32"/>
          <w:highlight w:val="none"/>
        </w:rPr>
        <w:t>（一）机关运行经费支出情况</w:t>
      </w:r>
      <w:bookmarkEnd w:id="73"/>
    </w:p>
    <w:p>
      <w:pPr>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市委史志办</w:t>
      </w:r>
      <w:r>
        <w:rPr>
          <w:rFonts w:hint="default" w:ascii="Times New Roman" w:hAnsi="Times New Roman" w:eastAsia="仿宋_GB2312" w:cs="Times New Roman"/>
          <w:color w:val="auto"/>
          <w:sz w:val="32"/>
          <w:szCs w:val="32"/>
          <w:highlight w:val="none"/>
        </w:rPr>
        <w:t>机关运行经费支出</w:t>
      </w:r>
      <w:r>
        <w:rPr>
          <w:rFonts w:hint="default" w:ascii="Times New Roman" w:hAnsi="Times New Roman" w:eastAsia="仿宋_GB2312" w:cs="Times New Roman"/>
          <w:color w:val="auto"/>
          <w:sz w:val="32"/>
          <w:szCs w:val="32"/>
          <w:highlight w:val="none"/>
          <w:lang w:val="en-US" w:eastAsia="zh-CN"/>
        </w:rPr>
        <w:t>45.26</w:t>
      </w:r>
      <w:r>
        <w:rPr>
          <w:rFonts w:hint="default" w:ascii="Times New Roman" w:hAnsi="Times New Roman" w:eastAsia="仿宋_GB2312" w:cs="Times New Roman"/>
          <w:color w:val="auto"/>
          <w:sz w:val="32"/>
          <w:szCs w:val="32"/>
          <w:highlight w:val="none"/>
        </w:rPr>
        <w:t>万元，比20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年增加</w:t>
      </w:r>
      <w:r>
        <w:rPr>
          <w:rFonts w:hint="default" w:ascii="Times New Roman" w:hAnsi="Times New Roman" w:eastAsia="仿宋_GB2312" w:cs="Times New Roman"/>
          <w:color w:val="auto"/>
          <w:sz w:val="32"/>
          <w:szCs w:val="32"/>
          <w:highlight w:val="none"/>
          <w:lang w:val="en-US" w:eastAsia="zh-CN"/>
        </w:rPr>
        <w:t>6.26</w:t>
      </w:r>
      <w:r>
        <w:rPr>
          <w:rFonts w:hint="default" w:ascii="Times New Roman" w:hAnsi="Times New Roman" w:eastAsia="仿宋_GB2312" w:cs="Times New Roman"/>
          <w:color w:val="auto"/>
          <w:sz w:val="32"/>
          <w:szCs w:val="32"/>
          <w:highlight w:val="none"/>
        </w:rPr>
        <w:t>万元，增长</w:t>
      </w:r>
      <w:r>
        <w:rPr>
          <w:rFonts w:hint="default" w:ascii="Times New Roman" w:hAnsi="Times New Roman" w:eastAsia="仿宋_GB2312" w:cs="Times New Roman"/>
          <w:color w:val="auto"/>
          <w:sz w:val="32"/>
          <w:szCs w:val="32"/>
          <w:highlight w:val="none"/>
          <w:lang w:val="en-US" w:eastAsia="zh-CN"/>
        </w:rPr>
        <w:t>15.19</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主要原因是</w:t>
      </w:r>
      <w:r>
        <w:rPr>
          <w:rFonts w:hint="default" w:ascii="Times New Roman" w:hAnsi="Times New Roman" w:eastAsia="方正仿宋_GBK" w:cs="Times New Roman"/>
          <w:color w:val="000000"/>
          <w:sz w:val="32"/>
          <w:szCs w:val="32"/>
          <w:lang w:bidi="ar-SA"/>
        </w:rPr>
        <w:t>人员工资、保险、目标绩效奖增加</w:t>
      </w:r>
      <w:r>
        <w:rPr>
          <w:rFonts w:hint="default" w:ascii="Times New Roman" w:hAnsi="Times New Roman" w:eastAsia="仿宋_GB2312" w:cs="Times New Roman"/>
          <w:color w:val="auto"/>
          <w:sz w:val="32"/>
          <w:szCs w:val="32"/>
          <w:highlight w:val="none"/>
          <w:lang w:eastAsia="zh-CN"/>
        </w:rPr>
        <w:t>。</w:t>
      </w:r>
    </w:p>
    <w:p>
      <w:pPr>
        <w:pageBreakBefore w:val="0"/>
        <w:kinsoku/>
        <w:wordWrap/>
        <w:overflowPunct/>
        <w:topLinePunct w:val="0"/>
        <w:autoSpaceDE w:val="0"/>
        <w:autoSpaceDN w:val="0"/>
        <w:bidi w:val="0"/>
        <w:adjustRightInd w:val="0"/>
        <w:spacing w:line="540" w:lineRule="exact"/>
        <w:ind w:firstLine="643" w:firstLineChars="200"/>
        <w:jc w:val="left"/>
        <w:textAlignment w:val="auto"/>
        <w:outlineLvl w:val="2"/>
        <w:rPr>
          <w:rFonts w:hint="default" w:ascii="Times New Roman" w:hAnsi="Times New Roman" w:eastAsia="仿宋" w:cs="Times New Roman"/>
          <w:b/>
          <w:color w:val="auto"/>
          <w:sz w:val="32"/>
          <w:szCs w:val="32"/>
          <w:highlight w:val="none"/>
        </w:rPr>
      </w:pPr>
      <w:bookmarkStart w:id="74" w:name="_Toc15377223"/>
      <w:r>
        <w:rPr>
          <w:rFonts w:hint="default" w:ascii="Times New Roman" w:hAnsi="Times New Roman" w:eastAsia="仿宋" w:cs="Times New Roman"/>
          <w:b/>
          <w:color w:val="auto"/>
          <w:sz w:val="32"/>
          <w:szCs w:val="32"/>
          <w:highlight w:val="none"/>
        </w:rPr>
        <w:t>（二）政府采购支出情况</w:t>
      </w:r>
      <w:bookmarkEnd w:id="74"/>
    </w:p>
    <w:p>
      <w:pPr>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w:t>
      </w:r>
      <w:r>
        <w:rPr>
          <w:rFonts w:hint="eastAsia" w:eastAsia="仿宋_GB2312" w:cs="Times New Roman"/>
          <w:color w:val="auto"/>
          <w:sz w:val="32"/>
          <w:szCs w:val="32"/>
          <w:highlight w:val="none"/>
          <w:lang w:eastAsia="zh-CN"/>
        </w:rPr>
        <w:t>市委市政府</w:t>
      </w:r>
      <w:r>
        <w:rPr>
          <w:rFonts w:hint="default" w:ascii="Times New Roman" w:hAnsi="Times New Roman" w:eastAsia="仿宋_GB2312" w:cs="Times New Roman"/>
          <w:color w:val="auto"/>
          <w:sz w:val="32"/>
          <w:szCs w:val="32"/>
          <w:highlight w:val="none"/>
        </w:rPr>
        <w:t>采购支出总额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万元，其中：政府采购货物支出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万元、政府采购工程支出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万元、政府采购服务支出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万元。授予中小企业合同金额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万元，占政府采购支出总额的</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%，其中：授予小微企业合同金额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万元，占政府采购支出总额的</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w:t>
      </w:r>
    </w:p>
    <w:p>
      <w:pPr>
        <w:pageBreakBefore w:val="0"/>
        <w:kinsoku/>
        <w:wordWrap/>
        <w:overflowPunct/>
        <w:topLinePunct w:val="0"/>
        <w:autoSpaceDE w:val="0"/>
        <w:autoSpaceDN w:val="0"/>
        <w:bidi w:val="0"/>
        <w:adjustRightInd w:val="0"/>
        <w:spacing w:line="540" w:lineRule="exact"/>
        <w:ind w:firstLine="643" w:firstLineChars="200"/>
        <w:jc w:val="left"/>
        <w:textAlignment w:val="auto"/>
        <w:outlineLvl w:val="2"/>
        <w:rPr>
          <w:rFonts w:hint="default" w:ascii="Times New Roman" w:hAnsi="Times New Roman" w:eastAsia="仿宋" w:cs="Times New Roman"/>
          <w:b/>
          <w:color w:val="auto"/>
          <w:sz w:val="32"/>
          <w:szCs w:val="32"/>
          <w:highlight w:val="none"/>
        </w:rPr>
      </w:pPr>
      <w:bookmarkStart w:id="75" w:name="_Toc15377224"/>
      <w:r>
        <w:rPr>
          <w:rFonts w:hint="default" w:ascii="Times New Roman" w:hAnsi="Times New Roman" w:eastAsia="仿宋" w:cs="Times New Roman"/>
          <w:b/>
          <w:color w:val="auto"/>
          <w:sz w:val="32"/>
          <w:szCs w:val="32"/>
          <w:highlight w:val="none"/>
        </w:rPr>
        <w:t>（三）国有资产占有使用情况</w:t>
      </w:r>
      <w:bookmarkEnd w:id="75"/>
    </w:p>
    <w:p>
      <w:pPr>
        <w:pageBreakBefore w:val="0"/>
        <w:kinsoku/>
        <w:wordWrap/>
        <w:overflowPunct/>
        <w:topLinePunct w:val="0"/>
        <w:autoSpaceDE w:val="0"/>
        <w:autoSpaceDN w:val="0"/>
        <w:bidi w:val="0"/>
        <w:adjustRightInd w:val="0"/>
        <w:spacing w:line="54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截至20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年12月31日，</w:t>
      </w:r>
      <w:r>
        <w:rPr>
          <w:rFonts w:hint="default" w:ascii="Times New Roman" w:hAnsi="Times New Roman" w:eastAsia="仿宋_GB2312" w:cs="Times New Roman"/>
          <w:color w:val="auto"/>
          <w:sz w:val="32"/>
          <w:szCs w:val="32"/>
          <w:highlight w:val="none"/>
          <w:lang w:eastAsia="zh-CN"/>
        </w:rPr>
        <w:t>市委史志办</w:t>
      </w:r>
      <w:r>
        <w:rPr>
          <w:rFonts w:hint="default" w:ascii="Times New Roman" w:hAnsi="Times New Roman" w:eastAsia="仿宋_GB2312" w:cs="Times New Roman"/>
          <w:color w:val="auto"/>
          <w:sz w:val="32"/>
          <w:szCs w:val="32"/>
          <w:highlight w:val="none"/>
        </w:rPr>
        <w:t>共有车辆</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辆，其中：主要领导干部用车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辆、机要通信用车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辆、应急保障用车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辆、其他用车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单价100万元以上专用设备</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台（套）。</w:t>
      </w:r>
    </w:p>
    <w:p>
      <w:pPr>
        <w:pageBreakBefore w:val="0"/>
        <w:kinsoku/>
        <w:wordWrap/>
        <w:overflowPunct/>
        <w:topLinePunct w:val="0"/>
        <w:autoSpaceDE w:val="0"/>
        <w:autoSpaceDN w:val="0"/>
        <w:bidi w:val="0"/>
        <w:adjustRightInd w:val="0"/>
        <w:spacing w:line="540" w:lineRule="exact"/>
        <w:ind w:firstLine="643" w:firstLineChars="200"/>
        <w:jc w:val="left"/>
        <w:textAlignment w:val="auto"/>
        <w:outlineLvl w:val="2"/>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b/>
          <w:color w:val="auto"/>
          <w:sz w:val="32"/>
          <w:szCs w:val="32"/>
          <w:highlight w:val="none"/>
        </w:rPr>
        <w:t>（四）预算绩效管理情况</w:t>
      </w:r>
    </w:p>
    <w:p>
      <w:pPr>
        <w:pageBreakBefore w:val="0"/>
        <w:widowControl/>
        <w:kinsoku/>
        <w:wordWrap/>
        <w:overflowPunct/>
        <w:topLinePunct w:val="0"/>
        <w:bidi w:val="0"/>
        <w:spacing w:line="54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方正仿宋_GBK" w:cs="Times New Roman"/>
          <w:sz w:val="32"/>
          <w:szCs w:val="32"/>
          <w:lang w:bidi="ar-SA"/>
        </w:rPr>
        <w:t>根据预算绩效管理要求，</w:t>
      </w:r>
      <w:r>
        <w:rPr>
          <w:rFonts w:hint="default" w:ascii="Times New Roman" w:hAnsi="Times New Roman" w:eastAsia="方正仿宋_GBK" w:cs="Times New Roman"/>
          <w:sz w:val="32"/>
          <w:szCs w:val="32"/>
          <w:lang w:eastAsia="zh-CN" w:bidi="ar-SA"/>
        </w:rPr>
        <w:t>市委史志办</w:t>
      </w:r>
      <w:r>
        <w:rPr>
          <w:rFonts w:hint="default" w:ascii="Times New Roman" w:hAnsi="Times New Roman" w:eastAsia="方正仿宋_GBK" w:cs="Times New Roman"/>
          <w:sz w:val="32"/>
          <w:szCs w:val="32"/>
          <w:lang w:bidi="ar-SA"/>
        </w:rPr>
        <w:t>在年初预算编制阶段，组织对市委党史地方志办公室整体支出绩效开展了预算事前绩效评估，对</w:t>
      </w: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个</w:t>
      </w:r>
      <w:r>
        <w:rPr>
          <w:rFonts w:hint="default" w:ascii="Times New Roman" w:hAnsi="Times New Roman" w:eastAsia="方正仿宋_GBK" w:cs="Times New Roman"/>
          <w:sz w:val="32"/>
          <w:szCs w:val="32"/>
          <w:lang w:eastAsia="zh-CN" w:bidi="ar-SA"/>
        </w:rPr>
        <w:t>特定类</w:t>
      </w:r>
      <w:r>
        <w:rPr>
          <w:rFonts w:hint="default" w:ascii="Times New Roman" w:hAnsi="Times New Roman" w:eastAsia="方正仿宋_GBK" w:cs="Times New Roman"/>
          <w:sz w:val="32"/>
          <w:szCs w:val="32"/>
          <w:lang w:bidi="ar-SA"/>
        </w:rPr>
        <w:t>项目编制了绩效目标，预算执行过程中，选取</w:t>
      </w: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个项目开展绩效监控，年终执行完毕后，对该项目开展了绩效目标完成情况自评。从评价情况来看，202</w:t>
      </w: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年我室及时、准确地完成预算编制，预算执行情况良好，支出管理规范，未出现因违规支出受到相关监督部门批评或处理的情况。</w:t>
      </w:r>
    </w:p>
    <w:p>
      <w:pPr>
        <w:pageBreakBefore w:val="0"/>
        <w:widowControl/>
        <w:kinsoku/>
        <w:wordWrap/>
        <w:overflowPunct/>
        <w:topLinePunct w:val="0"/>
        <w:bidi w:val="0"/>
        <w:spacing w:line="540" w:lineRule="exact"/>
        <w:ind w:firstLine="640" w:firstLineChars="200"/>
        <w:jc w:val="left"/>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组织对2022年度一般公共预算全面开展绩效自评，形成</w:t>
      </w:r>
      <w:r>
        <w:rPr>
          <w:rFonts w:hint="default" w:ascii="Times New Roman" w:hAnsi="Times New Roman" w:eastAsia="仿宋_GB2312" w:cs="Times New Roman"/>
          <w:color w:val="auto"/>
          <w:sz w:val="32"/>
          <w:szCs w:val="32"/>
          <w:highlight w:val="none"/>
          <w:lang w:eastAsia="zh-CN"/>
        </w:rPr>
        <w:t>市委史志办</w:t>
      </w:r>
      <w:r>
        <w:rPr>
          <w:rFonts w:hint="default" w:ascii="Times New Roman" w:hAnsi="Times New Roman" w:eastAsia="仿宋_GB2312" w:cs="Times New Roman"/>
          <w:color w:val="auto"/>
          <w:sz w:val="32"/>
          <w:szCs w:val="32"/>
          <w:highlight w:val="none"/>
        </w:rPr>
        <w:t>部门整体（含部门预算项目）绩效自评报告</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绩效自评报告详见附件。</w:t>
      </w:r>
      <w:r>
        <w:rPr>
          <w:rFonts w:hint="default" w:ascii="Times New Roman" w:hAnsi="Times New Roman" w:eastAsia="仿宋_GB2312" w:cs="Times New Roman"/>
          <w:b/>
          <w:color w:val="auto"/>
          <w:sz w:val="32"/>
          <w:szCs w:val="32"/>
          <w:highlight w:val="none"/>
        </w:rPr>
        <w:br w:type="page"/>
      </w:r>
    </w:p>
    <w:p>
      <w:pPr>
        <w:pageBreakBefore w:val="0"/>
        <w:numPr>
          <w:ilvl w:val="0"/>
          <w:numId w:val="2"/>
        </w:numPr>
        <w:kinsoku/>
        <w:wordWrap/>
        <w:overflowPunct/>
        <w:topLinePunct w:val="0"/>
        <w:bidi w:val="0"/>
        <w:spacing w:line="540" w:lineRule="exact"/>
        <w:ind w:firstLine="660" w:firstLineChars="150"/>
        <w:jc w:val="center"/>
        <w:textAlignment w:val="auto"/>
        <w:outlineLvl w:val="0"/>
        <w:rPr>
          <w:rStyle w:val="28"/>
          <w:rFonts w:hint="default" w:ascii="Times New Roman" w:hAnsi="Times New Roman" w:eastAsia="黑体" w:cs="Times New Roman"/>
          <w:b w:val="0"/>
          <w:color w:val="auto"/>
          <w:highlight w:val="none"/>
        </w:rPr>
      </w:pPr>
      <w:bookmarkStart w:id="76" w:name="_Toc15377225"/>
      <w:bookmarkStart w:id="77" w:name="_Toc15396613"/>
      <w:bookmarkStart w:id="78" w:name="_Toc23740"/>
      <w:r>
        <w:rPr>
          <w:rFonts w:hint="default" w:ascii="Times New Roman" w:hAnsi="Times New Roman" w:eastAsia="黑体" w:cs="Times New Roman"/>
          <w:color w:val="auto"/>
          <w:sz w:val="44"/>
          <w:szCs w:val="44"/>
          <w:highlight w:val="none"/>
        </w:rPr>
        <w:t>名</w:t>
      </w:r>
      <w:r>
        <w:rPr>
          <w:rStyle w:val="28"/>
          <w:rFonts w:hint="default" w:ascii="Times New Roman" w:hAnsi="Times New Roman" w:eastAsia="黑体" w:cs="Times New Roman"/>
          <w:b w:val="0"/>
          <w:color w:val="auto"/>
          <w:highlight w:val="none"/>
        </w:rPr>
        <w:t>词解释</w:t>
      </w:r>
      <w:bookmarkEnd w:id="76"/>
      <w:bookmarkEnd w:id="77"/>
      <w:bookmarkEnd w:id="78"/>
    </w:p>
    <w:p>
      <w:pPr>
        <w:pageBreakBefore w:val="0"/>
        <w:kinsoku/>
        <w:wordWrap/>
        <w:overflowPunct/>
        <w:topLinePunct w:val="0"/>
        <w:bidi w:val="0"/>
        <w:spacing w:line="540" w:lineRule="exact"/>
        <w:jc w:val="left"/>
        <w:textAlignment w:val="auto"/>
        <w:rPr>
          <w:rFonts w:hint="default" w:ascii="Times New Roman" w:hAnsi="Times New Roman" w:cs="Times New Roman"/>
          <w:b/>
          <w:color w:val="auto"/>
          <w:sz w:val="44"/>
          <w:szCs w:val="44"/>
          <w:highlight w:val="none"/>
        </w:rPr>
      </w:pPr>
    </w:p>
    <w:p>
      <w:pPr>
        <w:pStyle w:val="26"/>
        <w:spacing w:line="560" w:lineRule="exact"/>
        <w:ind w:firstLine="640" w:firstLineChars="200"/>
        <w:outlineLvl w:val="1"/>
        <w:rPr>
          <w:rFonts w:ascii="Times New Roman" w:hAnsi="Times New Roman" w:eastAsia="仿宋_GB2312" w:cs="Times New Roman"/>
          <w:color w:val="auto"/>
          <w:sz w:val="32"/>
          <w:szCs w:val="32"/>
        </w:rPr>
      </w:pPr>
      <w:bookmarkStart w:id="79" w:name="_Toc3908"/>
      <w:bookmarkStart w:id="80" w:name="_Toc15377226"/>
      <w:r>
        <w:rPr>
          <w:rFonts w:ascii="Times New Roman" w:hAnsi="Times New Roman" w:eastAsia="仿宋_GB2312" w:cs="Times New Roman"/>
          <w:color w:val="auto"/>
          <w:sz w:val="32"/>
          <w:szCs w:val="32"/>
        </w:rPr>
        <w:t>1.财政拨款收入：指单位从同级财政部门取得的财政预算资金。</w:t>
      </w:r>
      <w:bookmarkEnd w:id="79"/>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2.事业收入：指事业单位开展专业业务活动及辅助活动取得的收入。</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3.经营收入：指事业单位在专业业务活动及其辅助活动之外开展非独立核算经营活动取得的收入。</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4.其他收入：指单位取得的除上述收入以外的各项收入。</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5.使用非财政拨款结余：指事业单位使用以前年度积累的非财政拨款结余弥补当年收支差额的金额。</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6.年初结转和结余：指以前年度尚未完成、结转到本年按有关规定继续使用的资金。</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7.结余分配：指事业单位按照会计制度规定缴纳的所得税、提取的专用结余以及转入非财政拨款结余的金额等。</w:t>
      </w:r>
    </w:p>
    <w:p>
      <w:pPr>
        <w:pStyle w:val="26"/>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8.年末结转和结余：指单位按有关规定结转到下年或以后年度继续使用的资金。</w:t>
      </w:r>
    </w:p>
    <w:p>
      <w:pPr>
        <w:ind w:firstLine="640" w:firstLineChars="200"/>
        <w:rPr>
          <w:rFonts w:eastAsia="仿宋_GB2312"/>
          <w:sz w:val="32"/>
          <w:szCs w:val="32"/>
        </w:rPr>
      </w:pPr>
      <w:r>
        <w:rPr>
          <w:rFonts w:hint="eastAsia" w:eastAsia="仿宋_GB2312"/>
          <w:sz w:val="32"/>
          <w:szCs w:val="32"/>
          <w:lang w:val="en-US" w:eastAsia="zh-CN"/>
        </w:rPr>
        <w:t>9</w:t>
      </w:r>
      <w:r>
        <w:rPr>
          <w:rFonts w:eastAsia="仿宋_GB2312"/>
          <w:sz w:val="32"/>
          <w:szCs w:val="32"/>
        </w:rPr>
        <w:t>.基本支出：指为保障机构正常运转、完成日常工作任务而发生的人员支出和公用支出。</w:t>
      </w:r>
    </w:p>
    <w:p>
      <w:pPr>
        <w:ind w:firstLine="640" w:firstLineChars="200"/>
        <w:rPr>
          <w:rFonts w:eastAsia="仿宋_GB2312"/>
          <w:sz w:val="32"/>
          <w:szCs w:val="32"/>
        </w:rPr>
      </w:pPr>
      <w:r>
        <w:rPr>
          <w:rFonts w:hint="eastAsia" w:eastAsia="仿宋_GB2312"/>
          <w:sz w:val="32"/>
          <w:szCs w:val="32"/>
          <w:lang w:val="en-US" w:eastAsia="zh-CN"/>
        </w:rPr>
        <w:t>10</w:t>
      </w:r>
      <w:r>
        <w:rPr>
          <w:rFonts w:eastAsia="仿宋_GB2312"/>
          <w:sz w:val="32"/>
          <w:szCs w:val="32"/>
        </w:rPr>
        <w:t>.项目支出：指在基本支出之外为完成特定行政任务和事业发展目标所发生的支出。</w:t>
      </w:r>
    </w:p>
    <w:p>
      <w:pPr>
        <w:pStyle w:val="26"/>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11</w:t>
      </w:r>
      <w:r>
        <w:rPr>
          <w:rFonts w:ascii="Times New Roman" w:hAnsi="Times New Roman" w:eastAsia="仿宋_GB2312" w:cs="Times New Roman"/>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12</w:t>
      </w:r>
      <w:r>
        <w:rPr>
          <w:rFonts w:ascii="Times New Roman" w:hAnsi="Times New Roman" w:eastAsia="仿宋_GB2312" w:cs="Times New Roman"/>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ageBreakBefore w:val="0"/>
        <w:kinsoku/>
        <w:wordWrap/>
        <w:overflowPunct/>
        <w:topLinePunct w:val="0"/>
        <w:bidi w:val="0"/>
        <w:spacing w:line="540" w:lineRule="exact"/>
        <w:jc w:val="center"/>
        <w:textAlignment w:val="auto"/>
        <w:outlineLvl w:val="0"/>
        <w:rPr>
          <w:rStyle w:val="28"/>
          <w:rFonts w:hint="default" w:ascii="Times New Roman" w:hAnsi="Times New Roman" w:eastAsia="黑体" w:cs="Times New Roman"/>
          <w:b w:val="0"/>
          <w:color w:val="auto"/>
          <w:highlight w:val="none"/>
          <w:lang w:eastAsia="zh-CN"/>
        </w:rPr>
      </w:pPr>
      <w:r>
        <w:rPr>
          <w:rFonts w:hint="default" w:ascii="Times New Roman" w:hAnsi="Times New Roman" w:cs="Times New Roman"/>
          <w:b/>
          <w:color w:val="auto"/>
          <w:sz w:val="44"/>
          <w:szCs w:val="44"/>
          <w:highlight w:val="none"/>
        </w:rPr>
        <w:br w:type="page"/>
      </w:r>
      <w:bookmarkStart w:id="81" w:name="_Toc15396614"/>
      <w:bookmarkStart w:id="82" w:name="_Toc28035"/>
      <w:r>
        <w:rPr>
          <w:rFonts w:hint="default" w:ascii="Times New Roman" w:hAnsi="Times New Roman" w:eastAsia="黑体" w:cs="Times New Roman"/>
          <w:color w:val="auto"/>
          <w:sz w:val="44"/>
          <w:szCs w:val="44"/>
          <w:highlight w:val="none"/>
        </w:rPr>
        <w:t>第</w:t>
      </w:r>
      <w:r>
        <w:rPr>
          <w:rStyle w:val="28"/>
          <w:rFonts w:hint="default" w:ascii="Times New Roman" w:hAnsi="Times New Roman" w:eastAsia="黑体" w:cs="Times New Roman"/>
          <w:b w:val="0"/>
          <w:color w:val="auto"/>
          <w:highlight w:val="none"/>
        </w:rPr>
        <w:t>四部分 附件</w:t>
      </w:r>
      <w:bookmarkEnd w:id="81"/>
      <w:bookmarkEnd w:id="82"/>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shd w:val="clear" w:color="auto" w:fill="FFFFFF"/>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lang w:val="zh-TW" w:eastAsia="zh-TW"/>
        </w:rPr>
        <w:t>年</w:t>
      </w:r>
      <w:r>
        <w:rPr>
          <w:rFonts w:hint="default" w:ascii="Times New Roman" w:hAnsi="Times New Roman" w:eastAsia="方正小标宋简体" w:cs="Times New Roman"/>
          <w:sz w:val="44"/>
          <w:szCs w:val="44"/>
          <w:shd w:val="clear" w:color="auto" w:fill="FFFFFF"/>
        </w:rPr>
        <w:t>市级部门整体支出绩效评价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zh-TW" w:eastAsia="zh-TW"/>
        </w:rPr>
        <w:t>自查报告</w:t>
      </w:r>
    </w:p>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一、部门</w:t>
      </w:r>
      <w:r>
        <w:rPr>
          <w:rFonts w:hint="default" w:ascii="Times New Roman" w:hAnsi="Times New Roman" w:eastAsia="黑体" w:cs="Times New Roman"/>
          <w:sz w:val="32"/>
          <w:szCs w:val="32"/>
          <w:lang w:eastAsia="zh-CN"/>
        </w:rPr>
        <w:t>（单位）基本</w:t>
      </w:r>
      <w:r>
        <w:rPr>
          <w:rFonts w:hint="default" w:ascii="Times New Roman" w:hAnsi="Times New Roman" w:eastAsia="黑体" w:cs="Times New Roman"/>
          <w:sz w:val="32"/>
          <w:szCs w:val="32"/>
        </w:rPr>
        <w:t>概况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（一）机构组成。</w:t>
      </w:r>
      <w:r>
        <w:rPr>
          <w:rFonts w:hint="default" w:ascii="Times New Roman" w:hAnsi="Times New Roman" w:eastAsia="仿宋_GB2312" w:cs="Times New Roman"/>
          <w:sz w:val="32"/>
          <w:szCs w:val="32"/>
        </w:rPr>
        <w:t>中共巴中市委党史办公室</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巴中市地方志办公室</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属正县级参照公务员法管理的事业单位，为市委党群口工作部门</w:t>
      </w:r>
      <w:r>
        <w:rPr>
          <w:rFonts w:hint="default" w:ascii="Times New Roman" w:hAnsi="Times New Roman" w:eastAsia="仿宋_GB2312" w:cs="Times New Roman"/>
          <w:sz w:val="32"/>
          <w:szCs w:val="32"/>
          <w:lang w:eastAsia="zh-CN"/>
        </w:rPr>
        <w:t>，是市财政一级预算单位</w:t>
      </w:r>
      <w:r>
        <w:rPr>
          <w:rFonts w:hint="default" w:ascii="Times New Roman" w:hAnsi="Times New Roman" w:eastAsia="仿宋_GB2312" w:cs="Times New Roman"/>
          <w:sz w:val="32"/>
          <w:szCs w:val="32"/>
        </w:rPr>
        <w:t>。下设4个内设机构：综合科、</w:t>
      </w:r>
      <w:r>
        <w:rPr>
          <w:rFonts w:hint="default" w:ascii="Times New Roman" w:hAnsi="Times New Roman" w:eastAsia="仿宋_GB2312" w:cs="Times New Roman"/>
          <w:sz w:val="32"/>
          <w:szCs w:val="32"/>
          <w:lang w:eastAsia="zh-CN"/>
        </w:rPr>
        <w:t>地情</w:t>
      </w:r>
      <w:r>
        <w:rPr>
          <w:rFonts w:hint="default" w:ascii="Times New Roman" w:hAnsi="Times New Roman" w:eastAsia="仿宋_GB2312" w:cs="Times New Roman"/>
          <w:sz w:val="32"/>
          <w:szCs w:val="32"/>
        </w:rPr>
        <w:t>信息科、方志工作科和党史工作科，下属事业单位1个：巴中市史志馆。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（二）机构职能</w:t>
      </w:r>
      <w:r>
        <w:rPr>
          <w:rFonts w:hint="default" w:ascii="Times New Roman" w:hAnsi="Times New Roman" w:eastAsia="楷体_GB2312" w:cs="Times New Roman"/>
          <w:sz w:val="32"/>
          <w:szCs w:val="32"/>
          <w:lang w:eastAsia="zh-CN"/>
        </w:rPr>
        <w:t>和人员概况</w:t>
      </w:r>
      <w:r>
        <w:rPr>
          <w:rFonts w:hint="default" w:ascii="Times New Roman" w:hAnsi="Times New Roman" w:eastAsia="楷体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按照三定方案的要求，党史地方志工作主要职责：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贯彻落实中央、省关于党史、地方志工作的方针政策，负责督促检查各地对中央、省、市关于党史、地方志工作方针、政策的贯彻落实；组织指导全市党史、地方志的资料征集、编纂、研究工作；负责市委地方党史和党领导巴中人民进行革命、建设和改革开放、</w:t>
      </w:r>
      <w:r>
        <w:rPr>
          <w:rFonts w:hint="eastAsia" w:eastAsia="仿宋_GB2312" w:cs="Times New Roman"/>
          <w:sz w:val="32"/>
          <w:szCs w:val="32"/>
          <w:lang w:eastAsia="zh-CN"/>
        </w:rPr>
        <w:t>全面建成小康社会</w:t>
      </w:r>
      <w:r>
        <w:rPr>
          <w:rFonts w:hint="default" w:ascii="Times New Roman" w:hAnsi="Times New Roman" w:eastAsia="仿宋_GB2312" w:cs="Times New Roman"/>
          <w:sz w:val="32"/>
          <w:szCs w:val="32"/>
        </w:rPr>
        <w:t>的历史的编写。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2.指导市级部门和各县（区）党史部门，完成重要专题史编写，为各级党委、政府决策提供依据。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3.承担市本级志的编纂、审定、出版；负责指导县（区）志、事业（部门）志编纂工作；承担市综合年鉴的编纂工作，指导市内各种年鉴的编纂工作。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4.负责党史、方志成果转化工作。组织拍摄党史、方志题材影视作品，创作党史、方志题材文学作品，开辟革命胜迹、历史遗迹游览景点，组织党史、方志宣传教育工作。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5.负责党史、地方志理论研究和行业协会管理工作。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主办相关学术刊物，组织党史、方志学术交流和业务培训，负责党史、方志部门干部培训和专业技术职务评审推荐工作。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6.负责全市地情资料收集编写、审读管理、出版发行工作，为各级政府和社会各界提供地情咨询。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7.负责建设管理巴中市史志馆，收集、整理、研究史志资料，并向社会提供服务。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8.参与革命遗址保护建设、参与历史文化、民俗文化、红色旅游的</w:t>
      </w:r>
      <w:r>
        <w:rPr>
          <w:rFonts w:hint="eastAsia" w:eastAsia="仿宋_GB2312" w:cs="Times New Roman"/>
          <w:sz w:val="32"/>
          <w:szCs w:val="32"/>
          <w:lang w:eastAsia="zh-CN"/>
        </w:rPr>
        <w:t>规划制定</w:t>
      </w:r>
      <w:r>
        <w:rPr>
          <w:rFonts w:hint="default" w:ascii="Times New Roman" w:hAnsi="Times New Roman" w:eastAsia="仿宋_GB2312" w:cs="Times New Roman"/>
          <w:sz w:val="32"/>
          <w:szCs w:val="32"/>
        </w:rPr>
        <w:t>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9.负责市委、市政府交办的其它工作。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人员概况。</w:t>
      </w:r>
      <w:r>
        <w:rPr>
          <w:rFonts w:hint="default" w:ascii="Times New Roman" w:hAnsi="Times New Roman" w:eastAsia="仿宋_GB2312" w:cs="Times New Roman"/>
          <w:sz w:val="32"/>
          <w:szCs w:val="32"/>
        </w:rPr>
        <w:t>核定市史志办机关人员编制10个</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巴中市史志馆核定财拨事业编制11个。</w:t>
      </w:r>
      <w:r>
        <w:rPr>
          <w:rFonts w:hint="default" w:ascii="Times New Roman" w:hAnsi="Times New Roman" w:eastAsia="仿宋_GB2312" w:cs="Times New Roman"/>
          <w:sz w:val="32"/>
          <w:szCs w:val="32"/>
          <w:lang w:eastAsia="zh-CN"/>
        </w:rPr>
        <w:t>市委史志办</w:t>
      </w:r>
      <w:r>
        <w:rPr>
          <w:rFonts w:hint="default" w:ascii="Times New Roman" w:hAnsi="Times New Roman" w:eastAsia="仿宋_GB2312" w:cs="Times New Roman"/>
          <w:sz w:val="32"/>
          <w:szCs w:val="32"/>
          <w:lang w:val="en-US" w:eastAsia="zh-CN"/>
        </w:rPr>
        <w:t>2022年初预算在职财政拨款人数17人，全年调动1人，辞职1人。</w:t>
      </w:r>
      <w:r>
        <w:rPr>
          <w:rFonts w:hint="eastAsia" w:eastAsia="仿宋_GB2312" w:cs="Times New Roman"/>
          <w:sz w:val="32"/>
          <w:szCs w:val="32"/>
          <w:lang w:val="en-US" w:eastAsia="zh-CN"/>
        </w:rPr>
        <w:t>截至2022年</w:t>
      </w:r>
      <w:r>
        <w:rPr>
          <w:rFonts w:hint="default" w:ascii="Times New Roman" w:hAnsi="Times New Roman" w:eastAsia="仿宋_GB2312" w:cs="Times New Roman"/>
          <w:sz w:val="32"/>
          <w:szCs w:val="32"/>
        </w:rPr>
        <w:t>12月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年末实有在职人数</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人，其中：</w:t>
      </w:r>
      <w:r>
        <w:rPr>
          <w:rFonts w:hint="default" w:ascii="Times New Roman" w:hAnsi="Times New Roman" w:eastAsia="仿宋_GB2312" w:cs="Times New Roman"/>
          <w:sz w:val="32"/>
          <w:szCs w:val="32"/>
          <w:lang w:eastAsia="zh-CN"/>
        </w:rPr>
        <w:t>参公</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人、机关工勤1人、财拨事业</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退休人员3人（工资关系已转入社保局统筹发放）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无超编超员情况。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（三）年度主要工作任务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mallCap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sz w:val="32"/>
          <w:szCs w:val="32"/>
        </w:rPr>
        <w:t>党史工作完成情况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按照省市相关工作部署，聚焦“打造川陕苏区红色名片”，扎实推进各项工作。史料征集方面，完成</w:t>
      </w:r>
      <w:r>
        <w:rPr>
          <w:rFonts w:hint="eastAsia" w:eastAsia="仿宋_GB2312" w:cs="Times New Roman"/>
          <w:sz w:val="32"/>
          <w:szCs w:val="32"/>
          <w:lang w:eastAsia="zh-CN"/>
        </w:rPr>
        <w:t>全面建成小康社会</w:t>
      </w:r>
      <w:r>
        <w:rPr>
          <w:rFonts w:hint="default" w:ascii="Times New Roman" w:hAnsi="Times New Roman" w:eastAsia="仿宋_GB2312" w:cs="Times New Roman"/>
          <w:sz w:val="32"/>
          <w:szCs w:val="32"/>
        </w:rPr>
        <w:t>、抗美援朝、“两路精神”研</w:t>
      </w:r>
      <w:r>
        <w:rPr>
          <w:rFonts w:hint="default" w:ascii="Times New Roman" w:hAnsi="Times New Roman" w:eastAsia="仿宋_GB2312" w:cs="Times New Roman"/>
          <w:smallCaps w:val="0"/>
          <w:sz w:val="32"/>
          <w:szCs w:val="32"/>
        </w:rPr>
        <w:t>究等资料征集、上报工作；考证清楚潘凤楼烈士、“半截皮带”主人公周广才等党史人物相关史料；巴中党史三卷资料征集工作有序推进。著作编</w:t>
      </w:r>
      <w:r>
        <w:rPr>
          <w:rFonts w:hint="default" w:ascii="Times New Roman" w:hAnsi="Times New Roman" w:eastAsia="仿宋_GB2312" w:cs="Times New Roman"/>
          <w:smallCaps w:val="0"/>
          <w:sz w:val="32"/>
          <w:szCs w:val="32"/>
          <w:lang w:eastAsia="zh-CN"/>
        </w:rPr>
        <w:t>写</w:t>
      </w:r>
      <w:r>
        <w:rPr>
          <w:rFonts w:hint="default" w:ascii="Times New Roman" w:hAnsi="Times New Roman" w:eastAsia="仿宋_GB2312" w:cs="Times New Roman"/>
          <w:smallCaps w:val="0"/>
          <w:sz w:val="32"/>
          <w:szCs w:val="32"/>
        </w:rPr>
        <w:t>方面，完成《中国共产党巴中执政实录</w:t>
      </w:r>
      <w:r>
        <w:rPr>
          <w:rFonts w:hint="default" w:ascii="Times New Roman" w:hAnsi="Times New Roman" w:eastAsia="仿宋_GB2312" w:cs="Times New Roman"/>
          <w:smallCaps w:val="0"/>
          <w:sz w:val="32"/>
          <w:szCs w:val="32"/>
          <w:lang w:eastAsia="zh-CN"/>
        </w:rPr>
        <w:t>（</w:t>
      </w:r>
      <w:r>
        <w:rPr>
          <w:rFonts w:hint="default" w:ascii="Times New Roman" w:hAnsi="Times New Roman" w:eastAsia="仿宋_GB2312" w:cs="Times New Roman"/>
          <w:smallCaps w:val="0"/>
          <w:sz w:val="32"/>
          <w:szCs w:val="32"/>
        </w:rPr>
        <w:t>2021年</w:t>
      </w:r>
      <w:r>
        <w:rPr>
          <w:rFonts w:hint="default" w:ascii="Times New Roman" w:hAnsi="Times New Roman" w:eastAsia="仿宋_GB2312" w:cs="Times New Roman"/>
          <w:smallCaps w:val="0"/>
          <w:sz w:val="32"/>
          <w:szCs w:val="32"/>
          <w:lang w:eastAsia="zh-CN"/>
        </w:rPr>
        <w:t>）</w:t>
      </w:r>
      <w:r>
        <w:rPr>
          <w:rFonts w:hint="default" w:ascii="Times New Roman" w:hAnsi="Times New Roman" w:eastAsia="仿宋_GB2312" w:cs="Times New Roman"/>
          <w:smallCaps w:val="0"/>
          <w:sz w:val="32"/>
          <w:szCs w:val="32"/>
        </w:rPr>
        <w:t>》</w:t>
      </w:r>
      <w:r>
        <w:rPr>
          <w:rFonts w:hint="default" w:ascii="Times New Roman" w:hAnsi="Times New Roman" w:eastAsia="仿宋_GB2312" w:cs="Times New Roman"/>
          <w:smallCaps w:val="0"/>
          <w:sz w:val="32"/>
          <w:szCs w:val="32"/>
          <w:lang w:eastAsia="zh-CN"/>
        </w:rPr>
        <w:t>编写并</w:t>
      </w:r>
      <w:r>
        <w:rPr>
          <w:rFonts w:hint="default" w:ascii="Times New Roman" w:hAnsi="Times New Roman" w:eastAsia="仿宋_GB2312" w:cs="Times New Roman"/>
          <w:smallCaps w:val="0"/>
          <w:sz w:val="32"/>
          <w:szCs w:val="32"/>
        </w:rPr>
        <w:t>送交出版，《川陕革命根据地斗争历程》已送中宣部审查，《川陕苏区红色资源名录》进入组稿环节，《川陕革命根据地史》正式结题。基础研究方面，通过调研论证，形成了《关于红四方面军“十六字训词”进入中国共产党人精神谱系的必要性分析》《巴中建设全国爱国主义教育和红色文化传承基地的路径研究》等多个专题研究成果和资政报告。分别召开《川陕革命根据地史》审稿市州、县区研讨会；精心筹办纪念川陕革命根据地创建90周年学术研讨会。党史宣教方面，全面完成红色资源普查工作，</w:t>
      </w:r>
      <w:r>
        <w:rPr>
          <w:rFonts w:hint="default" w:ascii="Times New Roman" w:hAnsi="Times New Roman" w:eastAsia="仿宋_GB2312" w:cs="Times New Roman"/>
          <w:smallCaps w:val="0"/>
          <w:sz w:val="32"/>
          <w:szCs w:val="32"/>
          <w:lang w:eastAsia="zh-CN"/>
        </w:rPr>
        <w:t>完成</w:t>
      </w:r>
      <w:r>
        <w:rPr>
          <w:rFonts w:hint="default" w:ascii="Times New Roman" w:hAnsi="Times New Roman" w:eastAsia="仿宋_GB2312" w:cs="Times New Roman"/>
          <w:smallCaps w:val="0"/>
          <w:sz w:val="32"/>
          <w:szCs w:val="32"/>
        </w:rPr>
        <w:t>巴中</w:t>
      </w:r>
      <w:r>
        <w:rPr>
          <w:rFonts w:hint="default" w:ascii="Times New Roman" w:hAnsi="Times New Roman" w:eastAsia="仿宋_GB2312" w:cs="Times New Roman"/>
          <w:smallCaps w:val="0"/>
          <w:sz w:val="32"/>
          <w:szCs w:val="32"/>
          <w:lang w:eastAsia="zh-CN"/>
        </w:rPr>
        <w:t>市</w:t>
      </w:r>
      <w:r>
        <w:rPr>
          <w:rFonts w:hint="default" w:ascii="Times New Roman" w:hAnsi="Times New Roman" w:eastAsia="仿宋_GB2312" w:cs="Times New Roman"/>
          <w:smallCaps w:val="0"/>
          <w:sz w:val="32"/>
          <w:szCs w:val="32"/>
        </w:rPr>
        <w:t>史志网</w:t>
      </w:r>
      <w:r>
        <w:rPr>
          <w:rFonts w:hint="default" w:ascii="Times New Roman" w:hAnsi="Times New Roman" w:eastAsia="仿宋_GB2312" w:cs="Times New Roman"/>
          <w:smallCaps w:val="0"/>
          <w:sz w:val="32"/>
          <w:szCs w:val="32"/>
          <w:lang w:eastAsia="zh-CN"/>
        </w:rPr>
        <w:t>站升级改版，组织开展“红色轻骑微党课”史志宣教活动，</w:t>
      </w:r>
      <w:r>
        <w:rPr>
          <w:rFonts w:hint="default" w:ascii="Times New Roman" w:hAnsi="Times New Roman" w:eastAsia="仿宋_GB2312" w:cs="Times New Roman"/>
          <w:smallCaps w:val="0"/>
          <w:sz w:val="32"/>
          <w:szCs w:val="32"/>
        </w:rPr>
        <w:t>对6处省级中共党史教育基地业务指导实现常态化，全市建成278个史志阅览室，实现乡镇（街道）、中心村（社区）史志阅览室全覆盖。史实</w:t>
      </w:r>
      <w:r>
        <w:rPr>
          <w:rFonts w:hint="default" w:ascii="Times New Roman" w:hAnsi="Times New Roman" w:eastAsia="仿宋_GB2312" w:cs="Times New Roman"/>
          <w:smallCaps w:val="0"/>
          <w:sz w:val="32"/>
          <w:szCs w:val="32"/>
          <w:lang w:eastAsia="zh-CN"/>
        </w:rPr>
        <w:t>审读</w:t>
      </w:r>
      <w:r>
        <w:rPr>
          <w:rFonts w:hint="default" w:ascii="Times New Roman" w:hAnsi="Times New Roman" w:eastAsia="仿宋_GB2312" w:cs="Times New Roman"/>
          <w:smallCaps w:val="0"/>
          <w:sz w:val="32"/>
          <w:szCs w:val="32"/>
        </w:rPr>
        <w:t>方面，</w:t>
      </w:r>
      <w:r>
        <w:rPr>
          <w:rFonts w:hint="default" w:ascii="Times New Roman" w:hAnsi="Times New Roman" w:eastAsia="仿宋_GB2312" w:cs="Times New Roman"/>
          <w:smallCaps w:val="0"/>
          <w:sz w:val="32"/>
          <w:szCs w:val="32"/>
          <w:lang w:eastAsia="zh-CN"/>
        </w:rPr>
        <w:t>严</w:t>
      </w:r>
      <w:r>
        <w:rPr>
          <w:rFonts w:hint="default" w:ascii="Times New Roman" w:hAnsi="Times New Roman" w:eastAsia="仿宋_GB2312" w:cs="Times New Roman"/>
          <w:smallCaps w:val="0"/>
          <w:color w:val="000000" w:themeColor="text1"/>
          <w:sz w:val="32"/>
          <w:szCs w:val="32"/>
          <w:lang w:eastAsia="zh-CN"/>
          <w14:textFill>
            <w14:solidFill>
              <w14:schemeClr w14:val="tx1"/>
            </w14:solidFill>
          </w14:textFill>
        </w:rPr>
        <w:t>格把好政治关、史实关、文字关，组织开展对《川陕苏区</w:t>
      </w:r>
      <w:r>
        <w:rPr>
          <w:rFonts w:hint="default" w:ascii="Times New Roman" w:hAnsi="Times New Roman" w:eastAsia="仿宋_GB2312" w:cs="Times New Roman"/>
          <w:smallCaps w:val="0"/>
          <w:color w:val="000000" w:themeColor="text1"/>
          <w:sz w:val="32"/>
          <w:szCs w:val="32"/>
          <w:lang w:val="en-US" w:eastAsia="zh-CN"/>
          <w14:textFill>
            <w14:solidFill>
              <w14:schemeClr w14:val="tx1"/>
            </w14:solidFill>
          </w14:textFill>
        </w:rPr>
        <w:t>100个</w:t>
      </w:r>
      <w:r>
        <w:rPr>
          <w:rFonts w:hint="default" w:ascii="Times New Roman" w:hAnsi="Times New Roman" w:eastAsia="仿宋_GB2312" w:cs="Times New Roman"/>
          <w:smallCaps w:val="0"/>
          <w:color w:val="000000" w:themeColor="text1"/>
          <w:sz w:val="32"/>
          <w:szCs w:val="32"/>
          <w:lang w:eastAsia="zh-CN"/>
          <w14:textFill>
            <w14:solidFill>
              <w14:schemeClr w14:val="tx1"/>
            </w14:solidFill>
          </w14:textFill>
        </w:rPr>
        <w:t>红色经典故事》《川陕苏区红色经典故事》《红色恩阳》《红色丰碑》等书稿的审读，对恩阳县委、恩阳红军经理部、川陕省委党校、红色奇章等展陈大纲的审读，对</w:t>
      </w:r>
      <w:r>
        <w:rPr>
          <w:rFonts w:hint="default" w:ascii="Times New Roman" w:hAnsi="Times New Roman" w:eastAsia="仿宋_GB2312" w:cs="Times New Roman"/>
          <w:smallCaps w:val="0"/>
          <w:color w:val="000000" w:themeColor="text1"/>
          <w:sz w:val="32"/>
          <w:szCs w:val="32"/>
          <w:lang w:val="en-US" w:eastAsia="zh-CN"/>
          <w14:textFill>
            <w14:solidFill>
              <w14:schemeClr w14:val="tx1"/>
            </w14:solidFill>
          </w14:textFill>
        </w:rPr>
        <w:t>党史</w:t>
      </w:r>
      <w:r>
        <w:rPr>
          <w:rFonts w:hint="eastAsia" w:eastAsia="仿宋_GB2312" w:cs="Times New Roman"/>
          <w:smallCaps w:val="0"/>
          <w:color w:val="000000" w:themeColor="text1"/>
          <w:sz w:val="32"/>
          <w:szCs w:val="32"/>
          <w:lang w:val="en-US" w:eastAsia="zh-CN"/>
          <w14:textFill>
            <w14:solidFill>
              <w14:schemeClr w14:val="tx1"/>
            </w14:solidFill>
          </w14:textFill>
        </w:rPr>
        <w:t>纪录片</w:t>
      </w:r>
      <w:r>
        <w:rPr>
          <w:rFonts w:hint="default" w:ascii="Times New Roman" w:hAnsi="Times New Roman" w:eastAsia="仿宋_GB2312" w:cs="Times New Roman"/>
          <w:smallCaps w:val="0"/>
          <w:color w:val="000000" w:themeColor="text1"/>
          <w:sz w:val="32"/>
          <w:szCs w:val="32"/>
          <w:lang w:val="en-US" w:eastAsia="zh-CN"/>
          <w14:textFill>
            <w14:solidFill>
              <w14:schemeClr w14:val="tx1"/>
            </w14:solidFill>
          </w14:textFill>
        </w:rPr>
        <w:t>《那年巴山旗正红》</w:t>
      </w:r>
      <w:r>
        <w:rPr>
          <w:rFonts w:hint="default" w:ascii="Times New Roman" w:hAnsi="Times New Roman" w:eastAsia="仿宋_GB2312" w:cs="Times New Roman"/>
          <w:smallCaps w:val="0"/>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smallCaps w:val="0"/>
          <w:color w:val="000000" w:themeColor="text1"/>
          <w:sz w:val="32"/>
          <w:szCs w:val="32"/>
          <w:lang w:val="en-US" w:eastAsia="zh-CN"/>
          <w14:textFill>
            <w14:solidFill>
              <w14:schemeClr w14:val="tx1"/>
            </w14:solidFill>
          </w14:textFill>
        </w:rPr>
        <w:t>审读</w:t>
      </w:r>
      <w:r>
        <w:rPr>
          <w:rFonts w:hint="default" w:ascii="Times New Roman" w:hAnsi="Times New Roman" w:eastAsia="仿宋_GB2312" w:cs="Times New Roman"/>
          <w:smallCaps w:val="0"/>
          <w:color w:val="000000" w:themeColor="text1"/>
          <w:sz w:val="32"/>
          <w:szCs w:val="32"/>
          <w:lang w:eastAsia="zh-CN"/>
          <w14:textFill>
            <w14:solidFill>
              <w14:schemeClr w14:val="tx1"/>
            </w14:solidFill>
          </w14:textFill>
        </w:rPr>
        <w:t>，参与纪念川陕革命根据地创建</w:t>
      </w:r>
      <w:r>
        <w:rPr>
          <w:rFonts w:hint="default" w:ascii="Times New Roman" w:hAnsi="Times New Roman" w:eastAsia="仿宋_GB2312" w:cs="Times New Roman"/>
          <w:smallCaps w:val="0"/>
          <w:color w:val="000000" w:themeColor="text1"/>
          <w:sz w:val="32"/>
          <w:szCs w:val="32"/>
          <w:lang w:val="en-US" w:eastAsia="zh-CN"/>
          <w14:textFill>
            <w14:solidFill>
              <w14:schemeClr w14:val="tx1"/>
            </w14:solidFill>
          </w14:textFill>
        </w:rPr>
        <w:t>90周年图片展的审读</w:t>
      </w:r>
      <w:r>
        <w:rPr>
          <w:rFonts w:hint="default" w:ascii="Times New Roman" w:hAnsi="Times New Roman" w:eastAsia="仿宋_GB2312" w:cs="Times New Roman"/>
          <w:smallCap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cs="Times New Roman"/>
          <w:lang w:val="en-US" w:eastAsia="zh-CN"/>
        </w:rPr>
      </w:pPr>
      <w:r>
        <w:rPr>
          <w:rFonts w:hint="default" w:ascii="Times New Roman" w:hAnsi="Times New Roman" w:eastAsia="楷体_GB2312" w:cs="Times New Roman"/>
          <w:sz w:val="32"/>
          <w:szCs w:val="32"/>
        </w:rPr>
        <w:t>地方志工作完成情况</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按照工作要求，围绕地方志特色，高质高效完成相关工作。</w:t>
      </w:r>
      <w:r>
        <w:rPr>
          <w:rFonts w:hint="default" w:ascii="Times New Roman" w:hAnsi="Times New Roman" w:eastAsia="仿宋_GB2312" w:cs="Times New Roman"/>
          <w:sz w:val="32"/>
          <w:szCs w:val="32"/>
          <w:lang w:val="en-US" w:eastAsia="zh-CN"/>
        </w:rPr>
        <w:t>综合年鉴编纂方面</w:t>
      </w:r>
      <w:r>
        <w:rPr>
          <w:rFonts w:hint="default" w:ascii="Times New Roman" w:hAnsi="Times New Roman" w:eastAsia="仿宋_GB2312" w:cs="Times New Roman"/>
          <w:sz w:val="32"/>
          <w:szCs w:val="32"/>
        </w:rPr>
        <w:t>，完成《巴中年鉴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》纲目送审，完成了各县区综合年鉴2021纲目复审和2022纲目审定，目前，《巴中年鉴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》送交出版。</w:t>
      </w:r>
      <w:r>
        <w:rPr>
          <w:rFonts w:hint="default" w:ascii="Times New Roman" w:hAnsi="Times New Roman" w:eastAsia="仿宋_GB2312" w:cs="Times New Roman"/>
          <w:sz w:val="32"/>
          <w:szCs w:val="32"/>
          <w:lang w:val="en-US" w:eastAsia="zh-CN"/>
        </w:rPr>
        <w:t>乡镇村志编纂方面，完</w:t>
      </w:r>
      <w:r>
        <w:rPr>
          <w:rFonts w:hint="default" w:ascii="Times New Roman" w:hAnsi="Times New Roman" w:eastAsia="仿宋_GB2312" w:cs="Times New Roman"/>
          <w:sz w:val="32"/>
          <w:szCs w:val="32"/>
          <w:lang w:eastAsia="zh-CN"/>
        </w:rPr>
        <w:t>成全市</w:t>
      </w:r>
      <w:r>
        <w:rPr>
          <w:rFonts w:hint="default" w:ascii="Times New Roman" w:hAnsi="Times New Roman" w:eastAsia="方正仿宋_GBK" w:cs="Times New Roman"/>
          <w:b w:val="0"/>
          <w:bCs w:val="0"/>
          <w:snapToGrid w:val="0"/>
          <w:color w:val="000000"/>
          <w:kern w:val="0"/>
          <w:sz w:val="32"/>
          <w:szCs w:val="32"/>
          <w:lang w:val="en-US" w:eastAsia="zh-CN" w:bidi="ar-SA"/>
        </w:rPr>
        <w:t>140部乡镇志、90部村志编纂规划，</w:t>
      </w:r>
      <w:r>
        <w:rPr>
          <w:rFonts w:hint="default" w:ascii="Times New Roman" w:hAnsi="Times New Roman" w:eastAsia="方正仿宋_GBK" w:cs="Times New Roman"/>
          <w:b w:val="0"/>
          <w:bCs w:val="0"/>
          <w:snapToGrid w:val="0"/>
          <w:color w:val="000000"/>
          <w:kern w:val="0"/>
          <w:sz w:val="32"/>
          <w:szCs w:val="32"/>
          <w:lang w:eastAsia="zh-CN"/>
        </w:rPr>
        <w:t>建立挂联包片和巡回指导检查等工作机制，</w:t>
      </w:r>
      <w:r>
        <w:rPr>
          <w:rFonts w:hint="default" w:ascii="Times New Roman" w:hAnsi="Times New Roman" w:eastAsia="方正仿宋_GBK" w:cs="Times New Roman"/>
          <w:b w:val="0"/>
          <w:bCs w:val="0"/>
          <w:snapToGrid w:val="0"/>
          <w:color w:val="000000"/>
          <w:kern w:val="0"/>
          <w:sz w:val="32"/>
          <w:szCs w:val="32"/>
          <w:lang w:val="en-US" w:eastAsia="zh-CN" w:bidi="ar-SA"/>
        </w:rPr>
        <w:t>开展线上编纂业务培训，深入各县区及乡镇现场业务指导，预计年底完成30部编纂出版任务。方志课题研究方面，</w:t>
      </w:r>
      <w:r>
        <w:rPr>
          <w:rFonts w:hint="default" w:ascii="Times New Roman" w:hAnsi="Times New Roman" w:eastAsia="仿宋_GB2312" w:cs="Times New Roman"/>
          <w:sz w:val="32"/>
          <w:szCs w:val="32"/>
        </w:rPr>
        <w:t>开展“晏阳初乡村建设理论对新时代乡村振兴的现实借鉴”“地方志服务乡村振兴战略研究”“地方综合年鉴编纂的规范性研究”等资政研究。</w:t>
      </w:r>
      <w:r>
        <w:rPr>
          <w:rFonts w:hint="default" w:ascii="Times New Roman" w:hAnsi="Times New Roman" w:eastAsia="仿宋_GB2312" w:cs="Times New Roman"/>
          <w:sz w:val="32"/>
          <w:szCs w:val="32"/>
          <w:lang w:eastAsia="zh-CN"/>
        </w:rPr>
        <w:t>完成《巴蜀史志》“封面故事”专题课题研究，形成</w:t>
      </w:r>
      <w:r>
        <w:rPr>
          <w:rFonts w:hint="default" w:ascii="Times New Roman" w:hAnsi="Times New Roman" w:eastAsia="仿宋_GB2312" w:cs="Times New Roman"/>
          <w:sz w:val="32"/>
          <w:szCs w:val="32"/>
          <w:lang w:val="en-US" w:eastAsia="zh-CN"/>
        </w:rPr>
        <w:t>5篇研究成果，并刊发。方志资料征集方面</w:t>
      </w:r>
      <w:r>
        <w:rPr>
          <w:rFonts w:hint="default" w:ascii="Times New Roman" w:hAnsi="Times New Roman" w:eastAsia="仿宋_GB2312" w:cs="Times New Roman"/>
          <w:sz w:val="32"/>
          <w:szCs w:val="32"/>
          <w:lang w:eastAsia="zh-CN"/>
        </w:rPr>
        <w:t>，征集市史志馆入馆书籍1000余套册、图照</w:t>
      </w:r>
      <w:r>
        <w:rPr>
          <w:rFonts w:hint="default" w:ascii="Times New Roman" w:hAnsi="Times New Roman" w:eastAsia="仿宋_GB2312" w:cs="Times New Roman"/>
          <w:sz w:val="32"/>
          <w:szCs w:val="32"/>
          <w:lang w:val="en-US" w:eastAsia="zh-CN"/>
        </w:rPr>
        <w:t>80余幅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方志创新开展方面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紧扣巴中市发展文旅康养首位产业决策部署，服务地方发展大局，组织编纂了《巴中文旅康养图志》，采取图文并茂，中英文双语，拟于12月出版发行。</w:t>
      </w:r>
      <w:r>
        <w:rPr>
          <w:rFonts w:hint="default" w:ascii="Times New Roman" w:hAnsi="Times New Roman" w:eastAsia="楷体_GB2312" w:cs="Times New Roman"/>
          <w:sz w:val="32"/>
          <w:szCs w:val="32"/>
          <w:lang w:val="en-US" w:eastAsia="zh-CN"/>
        </w:rPr>
        <w:t>服务中心</w:t>
      </w:r>
      <w:r>
        <w:rPr>
          <w:rFonts w:hint="default" w:ascii="Times New Roman" w:hAnsi="Times New Roman" w:eastAsia="楷体_GB2312" w:cs="Times New Roman"/>
          <w:sz w:val="32"/>
          <w:szCs w:val="32"/>
        </w:rPr>
        <w:t>工作完成情况</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lang w:val="en-US" w:eastAsia="zh-CN"/>
        </w:rPr>
        <w:t>乡村振兴方面，</w:t>
      </w:r>
      <w:r>
        <w:rPr>
          <w:rFonts w:hint="default" w:ascii="Times New Roman" w:hAnsi="Times New Roman" w:eastAsia="仿宋_GB2312" w:cs="Times New Roman"/>
          <w:sz w:val="32"/>
          <w:szCs w:val="32"/>
        </w:rPr>
        <w:t>开展巩固脱贫成果“回头看”工作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对“三类人群”逐户过筛，研究确定监测户3户13人，落实帮扶工作。突出产业联农，以丰收促增收。扶持</w:t>
      </w:r>
      <w:r>
        <w:rPr>
          <w:rFonts w:hint="default" w:ascii="Times New Roman" w:hAnsi="Times New Roman" w:eastAsia="仿宋_GB2312" w:cs="Times New Roman"/>
          <w:sz w:val="32"/>
          <w:szCs w:val="32"/>
          <w:lang w:eastAsia="zh-CN"/>
        </w:rPr>
        <w:t>临江</w:t>
      </w:r>
      <w:r>
        <w:rPr>
          <w:rFonts w:hint="default" w:ascii="Times New Roman" w:hAnsi="Times New Roman" w:eastAsia="仿宋_GB2312" w:cs="Times New Roman"/>
          <w:sz w:val="32"/>
          <w:szCs w:val="32"/>
        </w:rPr>
        <w:t>社区集体种植朝天椒、大豆、玉米50余亩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引进“五月花”手工制作塑料胶花产业项目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开展促进脱贫人口增收“百日行动”。</w:t>
      </w:r>
      <w:r>
        <w:rPr>
          <w:rFonts w:hint="default" w:ascii="Times New Roman" w:hAnsi="Times New Roman" w:eastAsia="仿宋_GB2312" w:cs="Times New Roman"/>
          <w:sz w:val="32"/>
          <w:szCs w:val="32"/>
          <w:lang w:val="en-US" w:eastAsia="zh-CN"/>
        </w:rPr>
        <w:t>疫情防控方面，全面落实中央、省委、市委关于疫情防控决策部署，组织全体</w:t>
      </w:r>
      <w:r>
        <w:rPr>
          <w:rFonts w:hint="default" w:ascii="Times New Roman" w:hAnsi="Times New Roman" w:eastAsia="仿宋_GB2312" w:cs="Times New Roman"/>
          <w:sz w:val="32"/>
          <w:szCs w:val="32"/>
        </w:rPr>
        <w:t>干部职工完成疫苗接种，做到“应种尽种”。建立健全核酸检测台账，全体职工核酸检测结果按时“入账”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建立疫情防控应急预案，成立疫情防控领导小组，常态长效化落实疫情防控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创文工作方面，制定《恩阳文治社区2022年度创文工作计划表》,组织干部职工到</w:t>
      </w:r>
      <w:r>
        <w:rPr>
          <w:rFonts w:hint="default" w:ascii="Times New Roman" w:hAnsi="Times New Roman" w:eastAsia="仿宋_GB2312" w:cs="Times New Roman"/>
          <w:kern w:val="2"/>
          <w:sz w:val="32"/>
          <w:szCs w:val="32"/>
          <w:lang w:val="en-US" w:eastAsia="zh-CN" w:bidi="ar"/>
        </w:rPr>
        <w:t>包保的恩阳文治社区开展“新时代文明实践日”、文明劝导、“烟头不落地 巴城更美丽”志愿服务活动等创</w:t>
      </w:r>
      <w:r>
        <w:rPr>
          <w:rFonts w:hint="default" w:ascii="Times New Roman" w:hAnsi="Times New Roman" w:eastAsia="仿宋_GB2312" w:cs="Times New Roman"/>
          <w:sz w:val="32"/>
          <w:szCs w:val="32"/>
          <w:lang w:val="en-US" w:eastAsia="zh-CN"/>
        </w:rPr>
        <w:t>文工作100余次</w:t>
      </w:r>
      <w:r>
        <w:rPr>
          <w:rFonts w:hint="default" w:ascii="Times New Roman" w:hAnsi="Times New Roman" w:eastAsia="仿宋_GB2312" w:cs="Times New Roman"/>
          <w:kern w:val="2"/>
          <w:sz w:val="32"/>
          <w:szCs w:val="32"/>
          <w:lang w:val="en-US" w:eastAsia="zh-CN" w:bidi="ar"/>
        </w:rPr>
        <w:t>，为文治社区解决创文经费</w:t>
      </w:r>
      <w:r>
        <w:rPr>
          <w:rFonts w:hint="default" w:ascii="Times New Roman" w:hAnsi="Times New Roman" w:eastAsia="仿宋_GB2312" w:cs="Times New Roman"/>
          <w:sz w:val="32"/>
          <w:szCs w:val="32"/>
          <w:lang w:val="en-US" w:eastAsia="zh-CN"/>
        </w:rPr>
        <w:t>1万</w:t>
      </w:r>
      <w:r>
        <w:rPr>
          <w:rFonts w:hint="default" w:ascii="Times New Roman" w:hAnsi="Times New Roman" w:eastAsia="仿宋_GB2312" w:cs="Times New Roman"/>
          <w:kern w:val="2"/>
          <w:sz w:val="32"/>
          <w:szCs w:val="32"/>
          <w:lang w:val="en-US" w:eastAsia="zh-CN" w:bidi="ar"/>
        </w:rPr>
        <w:t>元。单位主要领导在巴中电视台开展理论大家讲：深刻把握“两个确立”坚决做到“两个维护”的全媒体直播。依法治市等其他服务中心工作有序推进。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二、部门财政</w:t>
      </w:r>
      <w:r>
        <w:rPr>
          <w:rFonts w:hint="default" w:ascii="Times New Roman" w:hAnsi="Times New Roman" w:eastAsia="黑体" w:cs="Times New Roman"/>
          <w:sz w:val="32"/>
          <w:szCs w:val="32"/>
          <w:lang w:eastAsia="zh-CN"/>
        </w:rPr>
        <w:t>拨款</w:t>
      </w:r>
      <w:r>
        <w:rPr>
          <w:rFonts w:hint="default" w:ascii="Times New Roman" w:hAnsi="Times New Roman" w:eastAsia="黑体" w:cs="Times New Roman"/>
          <w:sz w:val="32"/>
          <w:szCs w:val="32"/>
        </w:rPr>
        <w:t>收</w:t>
      </w:r>
      <w:r>
        <w:rPr>
          <w:rFonts w:hint="default" w:ascii="Times New Roman" w:hAnsi="Times New Roman" w:eastAsia="黑体" w:cs="Times New Roman"/>
          <w:sz w:val="32"/>
          <w:szCs w:val="32"/>
          <w:lang w:eastAsia="zh-CN"/>
        </w:rPr>
        <w:t>支</w:t>
      </w:r>
      <w:r>
        <w:rPr>
          <w:rFonts w:hint="default" w:ascii="Times New Roman" w:hAnsi="Times New Roman" w:eastAsia="黑体" w:cs="Times New Roman"/>
          <w:sz w:val="32"/>
          <w:szCs w:val="32"/>
        </w:rPr>
        <w:t>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（一）</w:t>
      </w:r>
      <w:r>
        <w:rPr>
          <w:rFonts w:hint="default" w:ascii="Times New Roman" w:hAnsi="Times New Roman" w:eastAsia="仿宋_GB2312" w:cs="Times New Roman"/>
          <w:b/>
          <w:bCs/>
          <w:sz w:val="32"/>
          <w:szCs w:val="32"/>
          <w:lang w:val="en-US" w:eastAsia="zh-CN"/>
        </w:rPr>
        <w:t>部门财政拨款收入情况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市委史志办2022年财政年初预算收入378.52万元，上年度无结转，资金到位率100%。较上年减少2.61万元，减少率0.68%，主要原因为落实过紧日子的要求，进一步压减了相关人员经费及公用经费，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基本支出收入：329.01万元，占预算收入86.92%。含机关事业人员工资性收入、医疗保险等收入、公务交通补贴、年度绩效目标奖、退休干部生活补助等收入。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特定目标</w:t>
      </w:r>
      <w:r>
        <w:rPr>
          <w:rFonts w:hint="default" w:ascii="Times New Roman" w:hAnsi="Times New Roman" w:eastAsia="仿宋_GB2312" w:cs="Times New Roman"/>
          <w:sz w:val="32"/>
          <w:szCs w:val="32"/>
          <w:lang w:val="en-US" w:eastAsia="zh-CN"/>
        </w:rPr>
        <w:t>类项目收入：39.47万元，占预算收入10.43%。其中：党史及地方志业务经费19.99万元；史志馆开放运行维护费5万元；党史地方志书籍印刷费14.48万元。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运转类项目收入：10.04万元，占预算收入2.65%。其中：乡村振兴帮扶工作经费4万元；党建工作经费1.7万元；史志馆建设城市基础设施配套费4.34万元。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（二）部门财政拨款支出情况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市委史志办2022年一般公共预算财政拨款</w:t>
      </w:r>
      <w:r>
        <w:rPr>
          <w:rFonts w:hint="default" w:ascii="Times New Roman" w:hAnsi="Times New Roman" w:eastAsia="仿宋_GB2312" w:cs="Times New Roman"/>
          <w:sz w:val="32"/>
          <w:szCs w:val="32"/>
        </w:rPr>
        <w:t>支出</w:t>
      </w:r>
      <w:r>
        <w:rPr>
          <w:rFonts w:hint="default" w:ascii="Times New Roman" w:hAnsi="Times New Roman" w:eastAsia="仿宋_GB2312" w:cs="Times New Roman"/>
          <w:sz w:val="32"/>
          <w:szCs w:val="32"/>
          <w:lang w:val="en-US" w:eastAsia="zh-CN"/>
        </w:rPr>
        <w:t>378.52万元</w:t>
      </w:r>
      <w:r>
        <w:rPr>
          <w:rFonts w:hint="default" w:ascii="Times New Roman" w:hAnsi="Times New Roman" w:eastAsia="仿宋_GB2312" w:cs="Times New Roman"/>
          <w:sz w:val="32"/>
          <w:szCs w:val="32"/>
          <w:lang w:eastAsia="zh-CN"/>
        </w:rPr>
        <w:t>。其中：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基本支出：329.01万元，占总支出的86.92%。基本支出包含机关事业人员工资性收入、医疗保险等收入、公务交通补贴、年度绩效目标奖、退休干部生活补助等收入。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 w:eastAsia="zh-CN" w:bidi="ar-SA"/>
        </w:rPr>
        <w:t>2.</w:t>
      </w:r>
      <w:r>
        <w:rPr>
          <w:rFonts w:hint="default" w:ascii="Times New Roman" w:hAnsi="Times New Roman" w:eastAsia="仿宋_GB2312" w:cs="Times New Roman"/>
          <w:kern w:val="2"/>
          <w:sz w:val="32"/>
          <w:szCs w:val="32"/>
          <w:lang w:val="en-US" w:eastAsia="zh-CN" w:bidi="ar-SA"/>
        </w:rPr>
        <w:t>特定目标类</w:t>
      </w:r>
      <w:r>
        <w:rPr>
          <w:rFonts w:hint="default" w:ascii="Times New Roman" w:hAnsi="Times New Roman" w:eastAsia="仿宋_GB2312" w:cs="Times New Roman"/>
          <w:sz w:val="32"/>
          <w:szCs w:val="32"/>
          <w:lang w:val="en-US" w:eastAsia="zh-CN"/>
        </w:rPr>
        <w:t>项目支出：39.47万元，占总支出的10.43%。其中：党史及地方志业务经费19.99万元；史志馆开放运行维护费5万元；党史地方志书籍印刷费14.48万元。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 w:eastAsia="zh-CN"/>
        </w:rPr>
        <w:t>3.</w:t>
      </w:r>
      <w:r>
        <w:rPr>
          <w:rFonts w:hint="default" w:ascii="Times New Roman" w:hAnsi="Times New Roman" w:eastAsia="仿宋_GB2312" w:cs="Times New Roman"/>
          <w:sz w:val="32"/>
          <w:szCs w:val="32"/>
          <w:lang w:val="en-US" w:eastAsia="zh-CN"/>
        </w:rPr>
        <w:t>运转类项目支出：10.04万元，占总支出的2.65%。其中：乡村振兴帮扶工作经费4万元；党建工作经费1.7万元；史志馆建设城市基础设施配套费（一次性项目）4.34万元。</w:t>
      </w:r>
    </w:p>
    <w:p>
      <w:pPr>
        <w:pStyle w:val="2"/>
        <w:pageBreakBefore w:val="0"/>
        <w:kinsoku/>
        <w:wordWrap/>
        <w:overflowPunct/>
        <w:topLinePunct w:val="0"/>
        <w:bidi w:val="0"/>
        <w:spacing w:line="540" w:lineRule="exact"/>
        <w:ind w:firstLine="643" w:firstLineChars="200"/>
        <w:textAlignment w:val="auto"/>
        <w:rPr>
          <w:rFonts w:hint="default" w:ascii="Times New Roman" w:hAnsi="Times New Roman" w:eastAsia="仿宋_GB2312" w:cs="Times New Roman"/>
          <w:b/>
          <w:bCs/>
          <w:kern w:val="2"/>
          <w:sz w:val="32"/>
          <w:szCs w:val="32"/>
          <w:lang w:val="en-US" w:eastAsia="zh-CN" w:bidi="ar-SA"/>
        </w:rPr>
      </w:pPr>
      <w:r>
        <w:rPr>
          <w:rFonts w:hint="eastAsia" w:ascii="Times New Roman" w:hAnsi="Times New Roman" w:cs="Times New Roman"/>
          <w:b/>
          <w:bCs/>
          <w:kern w:val="2"/>
          <w:sz w:val="32"/>
          <w:szCs w:val="32"/>
          <w:lang w:val="en-US" w:eastAsia="zh-CN" w:bidi="ar-SA"/>
        </w:rPr>
        <w:t>（三）</w:t>
      </w:r>
      <w:r>
        <w:rPr>
          <w:rFonts w:hint="default" w:ascii="Times New Roman" w:hAnsi="Times New Roman" w:eastAsia="仿宋_GB2312" w:cs="Times New Roman"/>
          <w:b/>
          <w:bCs/>
          <w:kern w:val="2"/>
          <w:sz w:val="32"/>
          <w:szCs w:val="32"/>
          <w:lang w:val="en-US" w:eastAsia="zh-CN" w:bidi="ar-SA"/>
        </w:rPr>
        <w:t>部门财政拨款结转</w:t>
      </w:r>
    </w:p>
    <w:p>
      <w:pPr>
        <w:pStyle w:val="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2022 年无财政结转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三、部门财政支出管理情况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（一）部门预算项目绩效分析</w:t>
      </w:r>
    </w:p>
    <w:p>
      <w:pPr>
        <w:pStyle w:val="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1.人员类项目绩效分析</w:t>
      </w:r>
    </w:p>
    <w:p>
      <w:pPr>
        <w:pStyle w:val="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kern w:val="2"/>
          <w:sz w:val="32"/>
          <w:szCs w:val="32"/>
          <w:lang w:val="en-US" w:eastAsia="zh-CN" w:bidi="ar-SA"/>
        </w:rPr>
        <w:t>市委史志办</w:t>
      </w:r>
      <w:r>
        <w:rPr>
          <w:rFonts w:hint="default" w:ascii="Times New Roman" w:hAnsi="Times New Roman" w:eastAsia="仿宋_GB2312" w:cs="Times New Roman"/>
          <w:kern w:val="2"/>
          <w:sz w:val="32"/>
          <w:szCs w:val="32"/>
          <w:lang w:val="en-US" w:eastAsia="zh-CN" w:bidi="ar-SA"/>
        </w:rPr>
        <w:t>人员类项目年初预算批复金额</w:t>
      </w:r>
      <w:r>
        <w:rPr>
          <w:rFonts w:hint="default" w:ascii="Times New Roman" w:hAnsi="Times New Roman" w:cs="Times New Roman"/>
          <w:kern w:val="2"/>
          <w:sz w:val="32"/>
          <w:szCs w:val="32"/>
          <w:lang w:val="en-US" w:eastAsia="zh-CN" w:bidi="ar-SA"/>
        </w:rPr>
        <w:t>258.87</w:t>
      </w:r>
      <w:r>
        <w:rPr>
          <w:rFonts w:hint="default" w:ascii="Times New Roman" w:hAnsi="Times New Roman" w:eastAsia="仿宋_GB2312" w:cs="Times New Roman"/>
          <w:kern w:val="2"/>
          <w:sz w:val="32"/>
          <w:szCs w:val="32"/>
          <w:lang w:val="en-US" w:eastAsia="zh-CN" w:bidi="ar-SA"/>
        </w:rPr>
        <w:t>万元，调整预算金额</w:t>
      </w:r>
      <w:r>
        <w:rPr>
          <w:rFonts w:hint="default" w:ascii="Times New Roman" w:hAnsi="Times New Roman" w:cs="Times New Roman"/>
          <w:kern w:val="2"/>
          <w:sz w:val="32"/>
          <w:szCs w:val="32"/>
          <w:lang w:val="en-US" w:eastAsia="zh-CN" w:bidi="ar-SA"/>
        </w:rPr>
        <w:t>119.65</w:t>
      </w:r>
      <w:r>
        <w:rPr>
          <w:rFonts w:hint="default" w:ascii="Times New Roman" w:hAnsi="Times New Roman" w:eastAsia="仿宋_GB2312" w:cs="Times New Roman"/>
          <w:kern w:val="2"/>
          <w:sz w:val="32"/>
          <w:szCs w:val="32"/>
          <w:lang w:val="en-US" w:eastAsia="zh-CN" w:bidi="ar-SA"/>
        </w:rPr>
        <w:t>万元，全年预算金额</w:t>
      </w:r>
      <w:r>
        <w:rPr>
          <w:rFonts w:hint="default" w:ascii="Times New Roman" w:hAnsi="Times New Roman" w:cs="Times New Roman"/>
          <w:kern w:val="2"/>
          <w:sz w:val="32"/>
          <w:szCs w:val="32"/>
          <w:lang w:val="en-US" w:eastAsia="zh-CN" w:bidi="ar-SA"/>
        </w:rPr>
        <w:t>378.52</w:t>
      </w:r>
      <w:r>
        <w:rPr>
          <w:rFonts w:hint="default" w:ascii="Times New Roman" w:hAnsi="Times New Roman" w:eastAsia="仿宋_GB2312" w:cs="Times New Roman"/>
          <w:kern w:val="2"/>
          <w:sz w:val="32"/>
          <w:szCs w:val="32"/>
          <w:lang w:val="en-US" w:eastAsia="zh-CN" w:bidi="ar-SA"/>
        </w:rPr>
        <w:t xml:space="preserve">万元，完成支付金额 </w:t>
      </w:r>
      <w:r>
        <w:rPr>
          <w:rFonts w:hint="default" w:ascii="Times New Roman" w:hAnsi="Times New Roman" w:cs="Times New Roman"/>
          <w:kern w:val="2"/>
          <w:sz w:val="32"/>
          <w:szCs w:val="32"/>
          <w:lang w:val="en-US" w:eastAsia="zh-CN" w:bidi="ar-SA"/>
        </w:rPr>
        <w:t>378.52</w:t>
      </w:r>
      <w:r>
        <w:rPr>
          <w:rFonts w:hint="default" w:ascii="Times New Roman" w:hAnsi="Times New Roman" w:eastAsia="仿宋_GB2312" w:cs="Times New Roman"/>
          <w:kern w:val="2"/>
          <w:sz w:val="32"/>
          <w:szCs w:val="32"/>
          <w:lang w:val="en-US" w:eastAsia="zh-CN" w:bidi="ar-SA"/>
        </w:rPr>
        <w:t xml:space="preserve"> 万元，执行进度 100%，预算完成情况较好。</w:t>
      </w:r>
    </w:p>
    <w:p>
      <w:pPr>
        <w:pStyle w:val="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2.运转类项目绩效分析</w:t>
      </w:r>
    </w:p>
    <w:p>
      <w:pPr>
        <w:pStyle w:val="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kern w:val="2"/>
          <w:sz w:val="32"/>
          <w:szCs w:val="32"/>
          <w:lang w:val="en-US" w:eastAsia="zh-CN" w:bidi="ar-SA"/>
        </w:rPr>
        <w:t>市委史志办</w:t>
      </w:r>
      <w:r>
        <w:rPr>
          <w:rFonts w:hint="default" w:ascii="Times New Roman" w:hAnsi="Times New Roman" w:eastAsia="仿宋_GB2312" w:cs="Times New Roman"/>
          <w:kern w:val="2"/>
          <w:sz w:val="32"/>
          <w:szCs w:val="32"/>
          <w:lang w:val="en-US" w:eastAsia="zh-CN" w:bidi="ar-SA"/>
        </w:rPr>
        <w:t>运转类项目包括公用经费项目和其他运转类项目，运转类项目包括公用经费项目和其他运转类项目，所有运转类项目均严格按规定格式和要求填报绩效目标，设定了年度绩效数量指标、成本指标、效益指标等，详细反映了相应项目工作任务、达成的效果。运转类项目年初预算批复金额</w:t>
      </w:r>
      <w:r>
        <w:rPr>
          <w:rFonts w:hint="default" w:ascii="Times New Roman" w:hAnsi="Times New Roman" w:cs="Times New Roman"/>
          <w:kern w:val="2"/>
          <w:sz w:val="32"/>
          <w:szCs w:val="32"/>
          <w:lang w:val="en-US" w:eastAsia="zh-CN" w:bidi="ar-SA"/>
        </w:rPr>
        <w:t>223.87</w:t>
      </w:r>
      <w:r>
        <w:rPr>
          <w:rFonts w:hint="default" w:ascii="Times New Roman" w:hAnsi="Times New Roman" w:eastAsia="仿宋_GB2312" w:cs="Times New Roman"/>
          <w:kern w:val="2"/>
          <w:sz w:val="32"/>
          <w:szCs w:val="32"/>
          <w:lang w:val="en-US" w:eastAsia="zh-CN" w:bidi="ar-SA"/>
        </w:rPr>
        <w:t>万元，调减预算金额 0 万元，全年预算金额</w:t>
      </w:r>
      <w:r>
        <w:rPr>
          <w:rFonts w:hint="default" w:ascii="Times New Roman" w:hAnsi="Times New Roman" w:cs="Times New Roman"/>
          <w:kern w:val="2"/>
          <w:sz w:val="32"/>
          <w:szCs w:val="32"/>
          <w:lang w:val="en-US" w:eastAsia="zh-CN" w:bidi="ar-SA"/>
        </w:rPr>
        <w:t>344.04</w:t>
      </w:r>
      <w:r>
        <w:rPr>
          <w:rFonts w:hint="default" w:ascii="Times New Roman" w:hAnsi="Times New Roman" w:eastAsia="仿宋_GB2312" w:cs="Times New Roman"/>
          <w:kern w:val="2"/>
          <w:sz w:val="32"/>
          <w:szCs w:val="32"/>
          <w:lang w:val="en-US" w:eastAsia="zh-CN" w:bidi="ar-SA"/>
        </w:rPr>
        <w:t>万元，</w:t>
      </w:r>
      <w:r>
        <w:rPr>
          <w:rFonts w:hint="default" w:ascii="Times New Roman" w:hAnsi="Times New Roman" w:cs="Times New Roman"/>
          <w:kern w:val="2"/>
          <w:sz w:val="32"/>
          <w:szCs w:val="32"/>
          <w:lang w:val="en-US" w:eastAsia="zh-CN" w:bidi="ar-SA"/>
        </w:rPr>
        <w:t>全年</w:t>
      </w:r>
      <w:r>
        <w:rPr>
          <w:rFonts w:hint="default" w:ascii="Times New Roman" w:hAnsi="Times New Roman" w:eastAsia="仿宋_GB2312" w:cs="Times New Roman"/>
          <w:kern w:val="2"/>
          <w:sz w:val="32"/>
          <w:szCs w:val="32"/>
          <w:lang w:val="en-US" w:eastAsia="zh-CN" w:bidi="ar-SA"/>
        </w:rPr>
        <w:t xml:space="preserve">支付金额 </w:t>
      </w:r>
      <w:r>
        <w:rPr>
          <w:rFonts w:hint="default" w:ascii="Times New Roman" w:hAnsi="Times New Roman" w:cs="Times New Roman"/>
          <w:kern w:val="2"/>
          <w:sz w:val="32"/>
          <w:szCs w:val="32"/>
          <w:lang w:val="en-US" w:eastAsia="zh-CN" w:bidi="ar-SA"/>
        </w:rPr>
        <w:t>339.05</w:t>
      </w:r>
      <w:r>
        <w:rPr>
          <w:rFonts w:hint="default" w:ascii="Times New Roman" w:hAnsi="Times New Roman" w:eastAsia="仿宋_GB2312" w:cs="Times New Roman"/>
          <w:kern w:val="2"/>
          <w:sz w:val="32"/>
          <w:szCs w:val="32"/>
          <w:lang w:val="en-US" w:eastAsia="zh-CN" w:bidi="ar-SA"/>
        </w:rPr>
        <w:t>万元，执行进度</w:t>
      </w:r>
      <w:r>
        <w:rPr>
          <w:rFonts w:hint="default" w:ascii="Times New Roman" w:hAnsi="Times New Roman" w:cs="Times New Roman"/>
          <w:kern w:val="2"/>
          <w:sz w:val="32"/>
          <w:szCs w:val="32"/>
          <w:lang w:val="en-US" w:eastAsia="zh-CN" w:bidi="ar-SA"/>
        </w:rPr>
        <w:t>98.55</w:t>
      </w:r>
      <w:r>
        <w:rPr>
          <w:rFonts w:hint="default" w:ascii="Times New Roman" w:hAnsi="Times New Roman" w:eastAsia="仿宋_GB2312" w:cs="Times New Roman"/>
          <w:kern w:val="2"/>
          <w:sz w:val="32"/>
          <w:szCs w:val="32"/>
          <w:lang w:val="en-US" w:eastAsia="zh-CN" w:bidi="ar-SA"/>
        </w:rPr>
        <w:t>%。预算完成情况较好。</w:t>
      </w:r>
    </w:p>
    <w:p>
      <w:pPr>
        <w:pStyle w:val="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3.特定目标类项目绩效分析</w:t>
      </w:r>
    </w:p>
    <w:p>
      <w:pPr>
        <w:pStyle w:val="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市委史志办特定目标类项目共3个，严格按规定格式和要求填报绩效目标，设定了年度绩效数量指标、成本指标、效益指标等，详细反映了相应项目工作任务及目标绩效效果。特定目标类项目年初预算批复金额35万元，调整预算金额 21.48万元（年中追加项目《川陕革命根据地斗争历程》出版印刷经费17万元。因《川陕革命根据地斗争历程》一书被国家定为重点审读课题，现中宣部正在审读，等审读完后按流程进行出版印刷），全年预算金额 56.48万元，完成支付 39.47万元，执行进度75%。预算完成情况较好。</w:t>
      </w:r>
    </w:p>
    <w:p>
      <w:pPr>
        <w:pStyle w:val="12"/>
        <w:pageBreakBefore w:val="0"/>
        <w:kinsoku/>
        <w:wordWrap/>
        <w:overflowPunct/>
        <w:topLinePunct w:val="0"/>
        <w:bidi w:val="0"/>
        <w:spacing w:line="540" w:lineRule="exact"/>
        <w:ind w:firstLine="643" w:firstLineChars="200"/>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（二）部门整体履职绩效分析</w:t>
      </w:r>
    </w:p>
    <w:p>
      <w:pPr>
        <w:pStyle w:val="1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1.制度建设情况</w:t>
      </w:r>
    </w:p>
    <w:p>
      <w:pPr>
        <w:pStyle w:val="1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市委史志办是市委党群口组成部门，主要承担了党史地</w:t>
      </w:r>
      <w:r>
        <w:rPr>
          <w:rFonts w:hint="default" w:ascii="Times New Roman" w:hAnsi="Times New Roman" w:eastAsia="仿宋_GB2312" w:cs="Times New Roman"/>
          <w:sz w:val="32"/>
          <w:szCs w:val="32"/>
          <w:lang w:eastAsia="zh-CN"/>
        </w:rPr>
        <w:t>方志著作编纂、研究、开发利用等工作，为进一步规范财务管理、规范财务运行，更高效的使用财政产金，根据财务规定和相关工作要求，</w:t>
      </w:r>
      <w:r>
        <w:rPr>
          <w:rFonts w:hint="default" w:ascii="Times New Roman" w:hAnsi="Times New Roman" w:eastAsia="仿宋_GB2312" w:cs="Times New Roman"/>
          <w:sz w:val="32"/>
          <w:szCs w:val="32"/>
        </w:rPr>
        <w:t>我室制定了《市史志办机关内部管理制度》</w:t>
      </w:r>
      <w:r>
        <w:rPr>
          <w:rFonts w:hint="default" w:ascii="Times New Roman" w:hAnsi="Times New Roman" w:eastAsia="仿宋_GB2312" w:cs="Times New Roman"/>
          <w:sz w:val="32"/>
          <w:szCs w:val="32"/>
          <w:lang w:eastAsia="zh-CN"/>
        </w:rPr>
        <w:t>、《公务卡管理办法》等</w:t>
      </w:r>
      <w:r>
        <w:rPr>
          <w:rFonts w:hint="default" w:ascii="Times New Roman" w:hAnsi="Times New Roman" w:eastAsia="仿宋_GB2312" w:cs="Times New Roman"/>
          <w:sz w:val="32"/>
          <w:szCs w:val="32"/>
        </w:rPr>
        <w:t>，包括《学习、会议、培训制度》《公文办理、保密、档案、印章、安全、保卫制度》《信访群众工作制度》《财务管理、公务接待》《考勤、请（销）假制度、关怀激励制度》等。</w:t>
      </w:r>
    </w:p>
    <w:p>
      <w:pPr>
        <w:pStyle w:val="12"/>
        <w:pageBreakBefore w:val="0"/>
        <w:kinsoku/>
        <w:wordWrap/>
        <w:overflowPunct/>
        <w:topLinePunct w:val="0"/>
        <w:bidi w:val="0"/>
        <w:spacing w:line="54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val="en-US" w:eastAsia="zh-CN"/>
        </w:rPr>
        <w:t>2.</w:t>
      </w:r>
      <w:r>
        <w:rPr>
          <w:rFonts w:hint="default" w:ascii="Times New Roman" w:hAnsi="Times New Roman" w:eastAsia="楷体_GB2312" w:cs="Times New Roman"/>
          <w:b w:val="0"/>
          <w:bCs w:val="0"/>
          <w:sz w:val="32"/>
          <w:szCs w:val="32"/>
        </w:rPr>
        <w:t>绩效目标管理情况</w:t>
      </w:r>
    </w:p>
    <w:p>
      <w:pPr>
        <w:pStyle w:val="1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市委史志办严格落实预算绩效管理相关规定和要求，规范预算收支核算，严格按照项目实施和进度申报财政预算，为切实提高财政资金的使用效率，增强预算的严肃性和约束力。</w:t>
      </w:r>
      <w:r>
        <w:rPr>
          <w:rFonts w:hint="default" w:ascii="Times New Roman" w:hAnsi="Times New Roman" w:eastAsia="仿宋_GB2312" w:cs="Times New Roman"/>
          <w:sz w:val="32"/>
          <w:szCs w:val="32"/>
        </w:rPr>
        <w:t>我室对</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eastAsia="zh-CN"/>
        </w:rPr>
        <w:t>特定类项目</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val="en-US" w:eastAsia="zh-CN"/>
        </w:rPr>
        <w:t>运转类</w:t>
      </w:r>
      <w:r>
        <w:rPr>
          <w:rFonts w:hint="default" w:ascii="Times New Roman" w:hAnsi="Times New Roman" w:eastAsia="仿宋_GB2312" w:cs="Times New Roman"/>
          <w:sz w:val="32"/>
          <w:szCs w:val="32"/>
        </w:rPr>
        <w:t>项目编制了项目绩效目标</w:t>
      </w:r>
      <w:r>
        <w:rPr>
          <w:rFonts w:hint="default" w:ascii="Times New Roman" w:hAnsi="Times New Roman" w:eastAsia="仿宋_GB2312" w:cs="Times New Roman"/>
          <w:sz w:val="32"/>
          <w:szCs w:val="32"/>
          <w:lang w:eastAsia="zh-CN"/>
        </w:rPr>
        <w:t>申报表</w:t>
      </w:r>
      <w:r>
        <w:rPr>
          <w:rFonts w:hint="default" w:ascii="Times New Roman" w:hAnsi="Times New Roman" w:eastAsia="仿宋_GB2312" w:cs="Times New Roman"/>
          <w:sz w:val="32"/>
          <w:szCs w:val="32"/>
        </w:rPr>
        <w:t>，覆盖率100%。</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结合实际情况，制定了产出指标、效益指标和满意度指标，并对指标进行了细化分解，定性、定量明确具体指标</w:t>
      </w:r>
      <w:r>
        <w:rPr>
          <w:rFonts w:hint="eastAsia" w:eastAsia="仿宋_GB2312" w:cs="Times New Roman"/>
          <w:sz w:val="32"/>
          <w:szCs w:val="32"/>
          <w:lang w:eastAsia="zh-CN"/>
        </w:rPr>
        <w:t>内控</w:t>
      </w:r>
      <w:r>
        <w:rPr>
          <w:rFonts w:hint="default" w:ascii="Times New Roman" w:hAnsi="Times New Roman" w:eastAsia="仿宋_GB2312" w:cs="Times New Roman"/>
          <w:sz w:val="32"/>
          <w:szCs w:val="32"/>
        </w:rPr>
        <w:t>及指标值，方便绩效管理，提高了项目的监控的规范性和项目操作的客观性、公正性和实用性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对部门预算编制情况、执行管理情况、支出绩效情况、财务管理情况、绩效管理工作开展情况认真进行了自查自评，进一步强化绩效理念，推动</w:t>
      </w:r>
      <w:r>
        <w:rPr>
          <w:rFonts w:hint="default" w:ascii="Times New Roman" w:hAnsi="Times New Roman" w:eastAsia="仿宋_GB2312" w:cs="Times New Roman"/>
          <w:sz w:val="32"/>
          <w:szCs w:val="32"/>
          <w:lang w:eastAsia="zh-CN"/>
        </w:rPr>
        <w:t>我室</w:t>
      </w:r>
      <w:r>
        <w:rPr>
          <w:rFonts w:hint="default" w:ascii="Times New Roman" w:hAnsi="Times New Roman" w:eastAsia="仿宋_GB2312" w:cs="Times New Roman"/>
          <w:sz w:val="32"/>
          <w:szCs w:val="32"/>
        </w:rPr>
        <w:t>绩效管理水平提升</w:t>
      </w:r>
      <w:r>
        <w:rPr>
          <w:rFonts w:hint="default" w:ascii="Times New Roman" w:hAnsi="Times New Roman" w:eastAsia="仿宋_GB2312" w:cs="Times New Roman"/>
          <w:sz w:val="32"/>
          <w:szCs w:val="32"/>
          <w:lang w:eastAsia="zh-CN"/>
        </w:rPr>
        <w:t>。</w:t>
      </w:r>
    </w:p>
    <w:p>
      <w:pPr>
        <w:pStyle w:val="12"/>
        <w:pageBreakBefore w:val="0"/>
        <w:kinsoku/>
        <w:wordWrap/>
        <w:overflowPunct/>
        <w:topLinePunct w:val="0"/>
        <w:bidi w:val="0"/>
        <w:spacing w:line="540"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val="en-US" w:eastAsia="zh-CN"/>
        </w:rPr>
        <w:t>3.</w:t>
      </w:r>
      <w:r>
        <w:rPr>
          <w:rFonts w:hint="default" w:ascii="Times New Roman" w:hAnsi="Times New Roman" w:eastAsia="楷体_GB2312" w:cs="Times New Roman"/>
          <w:b w:val="0"/>
          <w:bCs w:val="0"/>
          <w:sz w:val="32"/>
          <w:szCs w:val="32"/>
        </w:rPr>
        <w:t>综合管理情况</w:t>
      </w:r>
    </w:p>
    <w:p>
      <w:pPr>
        <w:pStyle w:val="1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2022年市委史志办严格执行中央关于厉行节约的八项规定、省委省政府十项规定、市委市政府九项规定。严格执行各项预算、从严控制各项支出，从严控制三公经费的支出，加强公务卡支付的管理，会议、培训规模和范围的管理，加强机关公共机构节能工作的管理，严格执行政府采购管理，加强机关经费管理，对单位的固定资产进行了全面的清理。结合职能职责，年初谋划预算编制工作，按照国家行政事业单位相关支出标准进行费用测算，结合单位工作职责，按照文件要求编制项目绩效目标表，保障重点支出，调整支出结构，优化财政资金配置，结合历年实际收入情况，合理编报财政拨款收入，确保不漏报、不瞒报、不虚报。按照市政府统一部署和具体要求，依法依规主动向社会公开预（决）算编制说明。对部门预算编制情况、执行管理情况、支出绩效情况、财务管理情况、绩效管理工作开展情况认真进行了自查自评，并将评价结果及时公布，不断强化绩效理念，提高绩效管理水平。</w:t>
      </w:r>
    </w:p>
    <w:p>
      <w:pPr>
        <w:pStyle w:val="1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4.综合绩效情况</w:t>
      </w:r>
    </w:p>
    <w:p>
      <w:pPr>
        <w:pStyle w:val="1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 年，市委史志办围绕中心，服务大局，以“三市两地一枢纽”发展定位、“两主三基、四向发力”总体思路和“稳、防、提、创”四字策略，充分发挥史志部门“存史、资政、育人”的职能，做好党史地方志各项工作，编纂出版了一批史志业务书刊，撰写了一批具有研究价值和现实意义的专著及理论研究文章，积极服务巴中经济社会发展，</w:t>
      </w:r>
      <w:r>
        <w:rPr>
          <w:rFonts w:hint="default" w:ascii="Times New Roman" w:hAnsi="Times New Roman" w:eastAsia="仿宋_GB2312" w:cs="Times New Roman"/>
          <w:sz w:val="32"/>
          <w:szCs w:val="32"/>
        </w:rPr>
        <w:t>圆满完成了年度各项工作任务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全力推进全市党史地方志事业高质量发展，</w:t>
      </w:r>
      <w:r>
        <w:rPr>
          <w:rFonts w:hint="default" w:ascii="Times New Roman" w:hAnsi="Times New Roman" w:eastAsia="仿宋_GB2312" w:cs="Times New Roman"/>
          <w:sz w:val="32"/>
          <w:szCs w:val="32"/>
          <w:lang w:val="en-US" w:eastAsia="zh-CN"/>
        </w:rPr>
        <w:t>为建设现代化四川巴中贡献史志力量，彰显史志担当。</w:t>
      </w:r>
    </w:p>
    <w:p>
      <w:pPr>
        <w:pStyle w:val="12"/>
        <w:pageBreakBefore w:val="0"/>
        <w:kinsoku/>
        <w:wordWrap/>
        <w:overflowPunct/>
        <w:topLinePunct w:val="0"/>
        <w:bidi w:val="0"/>
        <w:spacing w:line="54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（三）结果运用情况</w:t>
      </w:r>
    </w:p>
    <w:p>
      <w:pPr>
        <w:pStyle w:val="1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市委史志办将《党史地方志业务经费》《党史地方志书籍印刷费》《史志馆运行维护经费》3个特定类项目绩效完成情况纳入单位绩效管理考核，按照市财政局的统一部署和安排，按要求在市财政局集中公示了部门预算编制说明、部门预算项目支出绩效目标申报表，自觉接受社会公众的监督，进一步提高财政资金管理的透明度。按文件要求，对绩效目标管理情况及部门整支出绩效进行了自评并撰写自评报告。</w:t>
      </w:r>
    </w:p>
    <w:p>
      <w:pPr>
        <w:pStyle w:val="12"/>
        <w:pageBreakBefore w:val="0"/>
        <w:kinsoku/>
        <w:wordWrap/>
        <w:overflowPunct/>
        <w:topLinePunct w:val="0"/>
        <w:bidi w:val="0"/>
        <w:spacing w:line="54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（四）自评质量</w:t>
      </w:r>
    </w:p>
    <w:p>
      <w:pPr>
        <w:pStyle w:val="1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，市委史志办基本支出、运转类项目和特定类项目</w:t>
      </w:r>
      <w:r>
        <w:rPr>
          <w:rFonts w:hint="default" w:ascii="Times New Roman" w:hAnsi="Times New Roman" w:eastAsia="仿宋_GB2312" w:cs="Times New Roman"/>
          <w:sz w:val="32"/>
          <w:szCs w:val="32"/>
        </w:rPr>
        <w:t>管理规范、资金支出</w:t>
      </w:r>
      <w:r>
        <w:rPr>
          <w:rFonts w:hint="default" w:ascii="Times New Roman" w:hAnsi="Times New Roman" w:eastAsia="仿宋_GB2312" w:cs="Times New Roman"/>
          <w:sz w:val="32"/>
          <w:szCs w:val="32"/>
          <w:lang w:eastAsia="zh-CN"/>
        </w:rPr>
        <w:t>合理</w:t>
      </w:r>
      <w:r>
        <w:rPr>
          <w:rFonts w:hint="default" w:ascii="Times New Roman" w:hAnsi="Times New Roman" w:eastAsia="仿宋_GB2312" w:cs="Times New Roman"/>
          <w:sz w:val="32"/>
          <w:szCs w:val="32"/>
        </w:rPr>
        <w:t>合规，实施成效良好。</w:t>
      </w:r>
      <w:r>
        <w:rPr>
          <w:rFonts w:hint="default" w:ascii="Times New Roman" w:hAnsi="Times New Roman" w:eastAsia="仿宋_GB2312" w:cs="Times New Roman"/>
          <w:sz w:val="32"/>
          <w:szCs w:val="32"/>
          <w:lang w:eastAsia="zh-CN"/>
        </w:rPr>
        <w:t>按照《2023 年市级财政项目支出绩效评价体系》进行了评分，自评得分</w:t>
      </w:r>
      <w:r>
        <w:rPr>
          <w:rFonts w:hint="default" w:ascii="Times New Roman" w:hAnsi="Times New Roman" w:eastAsia="仿宋_GB2312" w:cs="Times New Roman"/>
          <w:sz w:val="32"/>
          <w:szCs w:val="32"/>
          <w:lang w:val="en-US" w:eastAsia="zh-CN"/>
        </w:rPr>
        <w:t>98分。</w:t>
      </w:r>
    </w:p>
    <w:p>
      <w:pPr>
        <w:pStyle w:val="12"/>
        <w:pageBreakBefore w:val="0"/>
        <w:kinsoku/>
        <w:wordWrap/>
        <w:overflowPunct/>
        <w:topLinePunct w:val="0"/>
        <w:bidi w:val="0"/>
        <w:spacing w:line="54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四、评价结论及建议</w:t>
      </w:r>
    </w:p>
    <w:p>
      <w:pPr>
        <w:pStyle w:val="12"/>
        <w:pageBreakBefore w:val="0"/>
        <w:kinsoku/>
        <w:wordWrap/>
        <w:overflowPunct/>
        <w:topLinePunct w:val="0"/>
        <w:bidi w:val="0"/>
        <w:spacing w:line="540" w:lineRule="exact"/>
        <w:ind w:firstLine="643" w:firstLineChars="200"/>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（一）评价结论</w:t>
      </w:r>
    </w:p>
    <w:p>
      <w:pPr>
        <w:pStyle w:val="1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2022 年，</w:t>
      </w:r>
      <w:r>
        <w:rPr>
          <w:rFonts w:hint="default" w:ascii="Times New Roman" w:hAnsi="Times New Roman" w:eastAsia="仿宋_GB2312" w:cs="Times New Roman"/>
          <w:sz w:val="32"/>
          <w:szCs w:val="32"/>
          <w:lang w:eastAsia="zh-CN"/>
        </w:rPr>
        <w:t>市委史志办</w:t>
      </w:r>
      <w:r>
        <w:rPr>
          <w:rFonts w:hint="default" w:ascii="Times New Roman" w:hAnsi="Times New Roman" w:eastAsia="仿宋_GB2312" w:cs="Times New Roman"/>
          <w:sz w:val="32"/>
          <w:szCs w:val="32"/>
        </w:rPr>
        <w:t>财务管理规范，预算编制科学、绩效目标设置合理，财政资金支出符合规定，取得了预期效果，</w:t>
      </w:r>
      <w:r>
        <w:rPr>
          <w:rFonts w:hint="default" w:ascii="Times New Roman" w:hAnsi="Times New Roman" w:eastAsia="仿宋_GB2312" w:cs="Times New Roman"/>
          <w:sz w:val="32"/>
          <w:szCs w:val="32"/>
          <w:lang w:eastAsia="zh-CN"/>
        </w:rPr>
        <w:t>各项工作圆满完成。根据“总量控制、计划管理”的要求从严控制预算经费，根据过紧日子的要求压缩公务经费支出，控制“三公”经费的支出，严格按照预算科目和预算资金的规定和要求使用财政预算资金，预算资金支出合规，管理规范，预算执行情况良好，未出现违规支付的现象和情况。</w:t>
      </w:r>
      <w:r>
        <w:rPr>
          <w:rFonts w:hint="default" w:ascii="Times New Roman" w:hAnsi="Times New Roman" w:eastAsia="仿宋_GB2312" w:cs="Times New Roman"/>
          <w:kern w:val="2"/>
          <w:sz w:val="32"/>
          <w:szCs w:val="32"/>
          <w:lang w:val="en-US" w:eastAsia="zh-CN" w:bidi="ar-SA"/>
        </w:rPr>
        <w:t>市委史志办部门整体支出绩效自查自评结果良好，全年基本支出保证了部门的正常运转，项目支出保障了重点工作的开展。</w:t>
      </w:r>
    </w:p>
    <w:p>
      <w:pPr>
        <w:pStyle w:val="12"/>
        <w:pageBreakBefore w:val="0"/>
        <w:kinsoku/>
        <w:wordWrap/>
        <w:overflowPunct/>
        <w:topLinePunct w:val="0"/>
        <w:bidi w:val="0"/>
        <w:spacing w:line="540" w:lineRule="exact"/>
        <w:ind w:firstLine="643" w:firstLineChars="200"/>
        <w:textAlignment w:val="auto"/>
        <w:rPr>
          <w:rFonts w:hint="default" w:ascii="Times New Roman" w:hAnsi="Times New Roman" w:eastAsia="仿宋_GB2312" w:cs="Times New Roman"/>
          <w:b/>
          <w:bCs/>
          <w:sz w:val="32"/>
          <w:szCs w:val="32"/>
          <w:lang w:val="en" w:eastAsia="zh-CN"/>
        </w:rPr>
      </w:pPr>
      <w:r>
        <w:rPr>
          <w:rFonts w:hint="default" w:ascii="Times New Roman" w:hAnsi="Times New Roman" w:eastAsia="仿宋_GB2312" w:cs="Times New Roman"/>
          <w:b/>
          <w:bCs/>
          <w:sz w:val="32"/>
          <w:szCs w:val="32"/>
          <w:lang w:val="en" w:eastAsia="zh-CN"/>
        </w:rPr>
        <w:t>（二）存在问题</w:t>
      </w:r>
    </w:p>
    <w:p>
      <w:pPr>
        <w:pStyle w:val="12"/>
        <w:pageBreakBefore w:val="0"/>
        <w:kinsoku/>
        <w:wordWrap/>
        <w:overflowPunct/>
        <w:topLinePunct w:val="0"/>
        <w:bidi w:val="0"/>
        <w:spacing w:line="540" w:lineRule="exact"/>
        <w:ind w:firstLine="596"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spacing w:val="-11"/>
          <w:sz w:val="32"/>
          <w:szCs w:val="32"/>
          <w:lang w:val="en-US" w:eastAsia="zh-CN"/>
        </w:rPr>
        <w:t>1.</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lang w:val="en-US" w:eastAsia="zh-CN"/>
        </w:rPr>
        <w:t>项目绩效重视需加大力度，特别是部门业务科室要深度参与目标绩效工作;</w:t>
      </w:r>
    </w:p>
    <w:p>
      <w:pPr>
        <w:pStyle w:val="1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2.绩效指标量化度需提升；</w:t>
      </w:r>
    </w:p>
    <w:p>
      <w:pPr>
        <w:pStyle w:val="12"/>
        <w:pageBreakBefore w:val="0"/>
        <w:kinsoku/>
        <w:wordWrap/>
        <w:overflowPunct/>
        <w:topLinePunct w:val="0"/>
        <w:bidi w:val="0"/>
        <w:spacing w:line="540" w:lineRule="exact"/>
        <w:ind w:firstLine="640" w:firstLineChars="200"/>
        <w:textAlignment w:val="auto"/>
        <w:rPr>
          <w:rFonts w:hint="eastAsia" w:ascii="Times New Roman" w:hAnsi="Times New Roman"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 w:eastAsia="zh-CN" w:bidi="ar-SA"/>
        </w:rPr>
        <w:t>.</w:t>
      </w:r>
      <w:r>
        <w:rPr>
          <w:rFonts w:hint="default" w:ascii="Times New Roman" w:hAnsi="Times New Roman" w:eastAsia="仿宋_GB2312" w:cs="Times New Roman"/>
          <w:kern w:val="2"/>
          <w:sz w:val="32"/>
          <w:szCs w:val="32"/>
          <w:lang w:val="en-US" w:eastAsia="zh-CN" w:bidi="ar-SA"/>
        </w:rPr>
        <w:t>三是绩效目</w:t>
      </w:r>
      <w:r>
        <w:rPr>
          <w:rFonts w:hint="default" w:ascii="Times New Roman" w:hAnsi="Times New Roman" w:cs="Times New Roman"/>
          <w:kern w:val="2"/>
          <w:sz w:val="32"/>
          <w:szCs w:val="32"/>
          <w:lang w:val="en-US" w:eastAsia="zh-CN" w:bidi="ar-SA"/>
        </w:rPr>
        <w:t>标</w:t>
      </w:r>
      <w:r>
        <w:rPr>
          <w:rFonts w:hint="default" w:ascii="Times New Roman" w:hAnsi="Times New Roman" w:eastAsia="仿宋_GB2312" w:cs="Times New Roman"/>
          <w:kern w:val="2"/>
          <w:sz w:val="32"/>
          <w:szCs w:val="32"/>
          <w:lang w:val="en-US" w:eastAsia="zh-CN" w:bidi="ar-SA"/>
        </w:rPr>
        <w:t>中长期规划不够完整</w:t>
      </w:r>
      <w:r>
        <w:rPr>
          <w:rFonts w:hint="eastAsia" w:ascii="Times New Roman" w:hAnsi="Times New Roman" w:cs="Times New Roman"/>
          <w:kern w:val="2"/>
          <w:sz w:val="32"/>
          <w:szCs w:val="32"/>
          <w:lang w:val="en-US" w:eastAsia="zh-CN" w:bidi="ar-SA"/>
        </w:rPr>
        <w:t>。</w:t>
      </w:r>
    </w:p>
    <w:p>
      <w:pPr>
        <w:pStyle w:val="12"/>
        <w:pageBreakBefore w:val="0"/>
        <w:kinsoku/>
        <w:wordWrap/>
        <w:overflowPunct/>
        <w:topLinePunct w:val="0"/>
        <w:bidi w:val="0"/>
        <w:spacing w:line="540" w:lineRule="exact"/>
        <w:ind w:firstLine="643" w:firstLineChars="200"/>
        <w:textAlignment w:val="auto"/>
        <w:rPr>
          <w:rFonts w:hint="default" w:ascii="Times New Roman" w:hAnsi="Times New Roman" w:eastAsia="仿宋_GB2312" w:cs="Times New Roman"/>
          <w:b/>
          <w:bCs/>
          <w:sz w:val="32"/>
          <w:szCs w:val="32"/>
          <w:lang w:val="en" w:eastAsia="zh-CN"/>
        </w:rPr>
      </w:pPr>
      <w:r>
        <w:rPr>
          <w:rFonts w:hint="default" w:ascii="Times New Roman" w:hAnsi="Times New Roman" w:eastAsia="仿宋_GB2312" w:cs="Times New Roman"/>
          <w:b/>
          <w:bCs/>
          <w:sz w:val="32"/>
          <w:szCs w:val="32"/>
          <w:lang w:val="en" w:eastAsia="zh-CN"/>
        </w:rPr>
        <w:t>（三）改进建议</w:t>
      </w:r>
    </w:p>
    <w:p>
      <w:pPr>
        <w:pStyle w:val="1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进一步完善我室内控制度，通过室务会、职工会进行学习和传达，真正做到将内部控制理念深入人心，形成人人注重风险防范、处处强化责任意识的良好氛围；注重党史地方志部门发展类及运转类项目绩效指标的细化和量化，使绩效指标有实用性、可操作性，不断提升绩</w:t>
      </w:r>
      <w:r>
        <w:rPr>
          <w:rFonts w:hint="eastAsia" w:ascii="Times New Roman" w:hAnsi="Times New Roman" w:eastAsia="仿宋_GB2312" w:cs="Times New Roman"/>
          <w:kern w:val="2"/>
          <w:sz w:val="32"/>
          <w:szCs w:val="32"/>
          <w:lang w:val="en-US" w:eastAsia="zh-CN" w:bidi="ar-SA"/>
        </w:rPr>
        <w:t>效</w:t>
      </w:r>
      <w:r>
        <w:rPr>
          <w:rFonts w:hint="default" w:ascii="Times New Roman" w:hAnsi="Times New Roman" w:eastAsia="仿宋_GB2312" w:cs="Times New Roman"/>
          <w:kern w:val="2"/>
          <w:sz w:val="32"/>
          <w:szCs w:val="32"/>
          <w:lang w:val="en-US" w:eastAsia="zh-CN" w:bidi="ar-SA"/>
        </w:rPr>
        <w:t>管理工作水平；加强会计业务培训，提</w:t>
      </w:r>
      <w:r>
        <w:rPr>
          <w:rFonts w:hint="eastAsia" w:ascii="Times New Roman" w:hAnsi="Times New Roman" w:eastAsia="仿宋_GB2312" w:cs="Times New Roman"/>
          <w:kern w:val="2"/>
          <w:sz w:val="32"/>
          <w:szCs w:val="32"/>
          <w:lang w:val="en-US" w:eastAsia="zh-CN" w:bidi="ar-SA"/>
        </w:rPr>
        <w:t>高</w:t>
      </w:r>
      <w:r>
        <w:rPr>
          <w:rFonts w:hint="default" w:ascii="Times New Roman" w:hAnsi="Times New Roman" w:eastAsia="仿宋_GB2312" w:cs="Times New Roman"/>
          <w:kern w:val="2"/>
          <w:sz w:val="32"/>
          <w:szCs w:val="32"/>
          <w:lang w:val="en-US" w:eastAsia="zh-CN" w:bidi="ar-SA"/>
        </w:rPr>
        <w:t>财务从业人员业务水平，提升财务工作质效。</w:t>
      </w:r>
    </w:p>
    <w:p>
      <w:pPr>
        <w:pStyle w:val="1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US" w:eastAsia="zh-CN" w:bidi="ar-SA"/>
        </w:rPr>
      </w:pPr>
    </w:p>
    <w:p>
      <w:pPr>
        <w:pStyle w:val="1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 w:eastAsia="zh-CN" w:bidi="ar-SA"/>
        </w:rPr>
        <w:t>附表：部门预算项目支出绩效自评表（2022 年度）</w:t>
      </w:r>
    </w:p>
    <w:p>
      <w:pPr>
        <w:pStyle w:val="2"/>
        <w:pageBreakBefore w:val="0"/>
        <w:kinsoku/>
        <w:wordWrap/>
        <w:overflowPunct/>
        <w:topLinePunct w:val="0"/>
        <w:bidi w:val="0"/>
        <w:spacing w:line="540" w:lineRule="exact"/>
        <w:textAlignment w:val="auto"/>
        <w:rPr>
          <w:rFonts w:hint="default" w:ascii="Times New Roman" w:hAnsi="Times New Roman" w:eastAsia="仿宋_GB2312" w:cs="Times New Roman"/>
          <w:kern w:val="2"/>
          <w:sz w:val="32"/>
          <w:szCs w:val="32"/>
          <w:lang w:val="en-US" w:eastAsia="zh-CN" w:bidi="ar-SA"/>
        </w:rPr>
      </w:pPr>
    </w:p>
    <w:p>
      <w:pPr>
        <w:pStyle w:val="12"/>
        <w:pageBreakBefore w:val="0"/>
        <w:kinsoku/>
        <w:wordWrap/>
        <w:overflowPunct/>
        <w:topLinePunct w:val="0"/>
        <w:bidi w:val="0"/>
        <w:spacing w:line="540" w:lineRule="exact"/>
        <w:textAlignment w:val="auto"/>
        <w:rPr>
          <w:rFonts w:hint="default" w:ascii="Times New Roman" w:hAnsi="Times New Roman" w:cs="Times New Roman"/>
        </w:rPr>
      </w:pPr>
    </w:p>
    <w:p>
      <w:pPr>
        <w:pageBreakBefore w:val="0"/>
        <w:kinsoku/>
        <w:wordWrap/>
        <w:overflowPunct/>
        <w:topLinePunct w:val="0"/>
        <w:bidi w:val="0"/>
        <w:spacing w:line="540" w:lineRule="exact"/>
        <w:textAlignment w:val="auto"/>
        <w:rPr>
          <w:rFonts w:hint="default" w:ascii="Times New Roman" w:hAnsi="Times New Roman" w:cs="Times New Roman"/>
        </w:rPr>
      </w:pPr>
    </w:p>
    <w:p>
      <w:pPr>
        <w:pStyle w:val="2"/>
        <w:pageBreakBefore w:val="0"/>
        <w:kinsoku/>
        <w:wordWrap/>
        <w:overflowPunct/>
        <w:topLinePunct w:val="0"/>
        <w:bidi w:val="0"/>
        <w:spacing w:line="540" w:lineRule="exact"/>
        <w:textAlignment w:val="auto"/>
        <w:rPr>
          <w:rFonts w:hint="default" w:ascii="Times New Roman" w:hAnsi="Times New Roman" w:cs="Times New Roman"/>
        </w:rPr>
      </w:pPr>
    </w:p>
    <w:p>
      <w:pPr>
        <w:pStyle w:val="12"/>
        <w:pageBreakBefore w:val="0"/>
        <w:kinsoku/>
        <w:wordWrap/>
        <w:overflowPunct/>
        <w:topLinePunct w:val="0"/>
        <w:bidi w:val="0"/>
        <w:spacing w:line="540" w:lineRule="exact"/>
        <w:textAlignment w:val="auto"/>
        <w:rPr>
          <w:rFonts w:hint="default" w:ascii="Times New Roman" w:hAnsi="Times New Roman" w:cs="Times New Roman"/>
        </w:rPr>
      </w:pPr>
    </w:p>
    <w:p>
      <w:pPr>
        <w:pageBreakBefore w:val="0"/>
        <w:kinsoku/>
        <w:wordWrap/>
        <w:overflowPunct/>
        <w:topLinePunct w:val="0"/>
        <w:bidi w:val="0"/>
        <w:spacing w:line="540" w:lineRule="exact"/>
        <w:textAlignment w:val="auto"/>
        <w:rPr>
          <w:rFonts w:hint="default" w:ascii="Times New Roman" w:hAnsi="Times New Roman" w:cs="Times New Roman"/>
        </w:rPr>
      </w:pPr>
    </w:p>
    <w:p>
      <w:pPr>
        <w:pStyle w:val="2"/>
        <w:pageBreakBefore w:val="0"/>
        <w:kinsoku/>
        <w:wordWrap/>
        <w:overflowPunct/>
        <w:topLinePunct w:val="0"/>
        <w:bidi w:val="0"/>
        <w:spacing w:line="540" w:lineRule="exact"/>
        <w:textAlignment w:val="auto"/>
        <w:rPr>
          <w:rFonts w:hint="default" w:ascii="Times New Roman" w:hAnsi="Times New Roman" w:cs="Times New Roman"/>
        </w:rPr>
      </w:pPr>
    </w:p>
    <w:p>
      <w:pPr>
        <w:pStyle w:val="12"/>
        <w:pageBreakBefore w:val="0"/>
        <w:kinsoku/>
        <w:wordWrap/>
        <w:overflowPunct/>
        <w:topLinePunct w:val="0"/>
        <w:bidi w:val="0"/>
        <w:spacing w:line="540" w:lineRule="exact"/>
        <w:textAlignment w:val="auto"/>
        <w:rPr>
          <w:rFonts w:hint="default" w:ascii="Times New Roman" w:hAnsi="Times New Roman" w:cs="Times New Roman"/>
        </w:rPr>
      </w:pPr>
    </w:p>
    <w:p>
      <w:pPr>
        <w:pageBreakBefore w:val="0"/>
        <w:kinsoku/>
        <w:wordWrap/>
        <w:overflowPunct/>
        <w:topLinePunct w:val="0"/>
        <w:bidi w:val="0"/>
        <w:spacing w:line="540" w:lineRule="exact"/>
        <w:textAlignment w:val="auto"/>
        <w:rPr>
          <w:rFonts w:hint="default" w:ascii="Times New Roman" w:hAnsi="Times New Roman" w:cs="Times New Roman"/>
        </w:rPr>
      </w:pPr>
    </w:p>
    <w:p>
      <w:pPr>
        <w:pStyle w:val="2"/>
        <w:pageBreakBefore w:val="0"/>
        <w:kinsoku/>
        <w:wordWrap/>
        <w:overflowPunct/>
        <w:topLinePunct w:val="0"/>
        <w:bidi w:val="0"/>
        <w:spacing w:line="540" w:lineRule="exact"/>
        <w:textAlignment w:val="auto"/>
        <w:rPr>
          <w:rFonts w:hint="default" w:ascii="Times New Roman" w:hAnsi="Times New Roman" w:cs="Times New Roman"/>
        </w:rPr>
      </w:pPr>
    </w:p>
    <w:p>
      <w:pPr>
        <w:pStyle w:val="12"/>
        <w:pageBreakBefore w:val="0"/>
        <w:kinsoku/>
        <w:wordWrap/>
        <w:overflowPunct/>
        <w:topLinePunct w:val="0"/>
        <w:bidi w:val="0"/>
        <w:spacing w:line="540" w:lineRule="exact"/>
        <w:textAlignment w:val="auto"/>
        <w:rPr>
          <w:rFonts w:hint="default" w:ascii="Times New Roman" w:hAnsi="Times New Roman" w:cs="Times New Roman"/>
        </w:rPr>
      </w:pPr>
    </w:p>
    <w:p>
      <w:pPr>
        <w:keepNext w:val="0"/>
        <w:keepLines w:val="0"/>
        <w:widowControl/>
        <w:suppressLineNumbers w:val="0"/>
        <w:jc w:val="left"/>
        <w:textAlignment w:val="center"/>
        <w:rPr>
          <w:rFonts w:ascii="宋体" w:hAnsi="宋体" w:eastAsia="宋体" w:cs="宋体"/>
          <w:i w:val="0"/>
          <w:color w:val="C0C0C0"/>
          <w:kern w:val="0"/>
          <w:sz w:val="20"/>
          <w:szCs w:val="20"/>
          <w:u w:val="none"/>
          <w:lang w:val="en-US" w:eastAsia="zh-CN" w:bidi="ar"/>
        </w:rPr>
        <w:sectPr>
          <w:footerReference r:id="rId5" w:type="first"/>
          <w:headerReference r:id="rId3" w:type="default"/>
          <w:footerReference r:id="rId4" w:type="default"/>
          <w:pgSz w:w="11906" w:h="16838"/>
          <w:pgMar w:top="1531" w:right="1531" w:bottom="1531" w:left="1531" w:header="851" w:footer="992" w:gutter="0"/>
          <w:pgNumType w:start="1"/>
          <w:cols w:space="425" w:num="1"/>
          <w:titlePg/>
          <w:docGrid w:type="lines" w:linePitch="312" w:charSpace="0"/>
        </w:sectPr>
      </w:pPr>
      <w:bookmarkStart w:id="83" w:name="_Toc15396618"/>
      <w:bookmarkStart w:id="84" w:name="_Toc22884"/>
    </w:p>
    <w:tbl>
      <w:tblPr>
        <w:tblStyle w:val="14"/>
        <w:tblW w:w="151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2"/>
        <w:gridCol w:w="2265"/>
        <w:gridCol w:w="1757"/>
        <w:gridCol w:w="2608"/>
        <w:gridCol w:w="1107"/>
        <w:gridCol w:w="993"/>
        <w:gridCol w:w="692"/>
        <w:gridCol w:w="1154"/>
        <w:gridCol w:w="576"/>
        <w:gridCol w:w="576"/>
        <w:gridCol w:w="2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312"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color w:val="C0C0C0"/>
                <w:sz w:val="20"/>
                <w:szCs w:val="20"/>
                <w:u w:val="none"/>
              </w:rPr>
            </w:pPr>
            <w:r>
              <w:rPr>
                <w:rFonts w:ascii="宋体" w:hAnsi="宋体" w:eastAsia="宋体" w:cs="宋体"/>
                <w:i w:val="0"/>
                <w:color w:val="C0C0C0"/>
                <w:kern w:val="0"/>
                <w:sz w:val="20"/>
                <w:szCs w:val="20"/>
                <w:u w:val="none"/>
                <w:lang w:val="en-US" w:eastAsia="zh-CN" w:bidi="ar"/>
              </w:rPr>
              <w:t>报表编号：510000_0013zp</w:t>
            </w:r>
          </w:p>
        </w:tc>
        <w:tc>
          <w:tcPr>
            <w:tcW w:w="1107"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2839" w:type="dxa"/>
            <w:gridSpan w:val="3"/>
            <w:tcBorders>
              <w:top w:val="nil"/>
              <w:left w:val="nil"/>
              <w:bottom w:val="nil"/>
              <w:right w:val="nil"/>
            </w:tcBorders>
            <w:shd w:val="clear" w:color="auto" w:fill="auto"/>
            <w:vAlign w:val="center"/>
          </w:tcPr>
          <w:p>
            <w:pPr>
              <w:rPr>
                <w:rFonts w:hint="eastAsia" w:ascii="宋体" w:hAnsi="宋体" w:eastAsia="宋体" w:cs="宋体"/>
                <w:i w:val="0"/>
                <w:color w:val="000000"/>
                <w:sz w:val="20"/>
                <w:szCs w:val="20"/>
                <w:u w:val="none"/>
              </w:rPr>
            </w:pPr>
          </w:p>
        </w:tc>
        <w:tc>
          <w:tcPr>
            <w:tcW w:w="576"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576"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c>
          <w:tcPr>
            <w:tcW w:w="2755"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3" w:hRule="atLeast"/>
          <w:jc w:val="center"/>
        </w:trPr>
        <w:tc>
          <w:tcPr>
            <w:tcW w:w="151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2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221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部门整体支出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2" w:hRule="atLeast"/>
          <w:jc w:val="center"/>
        </w:trPr>
        <w:tc>
          <w:tcPr>
            <w:tcW w:w="2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71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中共巴中市委党史办公室部门</w:t>
            </w:r>
          </w:p>
        </w:tc>
        <w:tc>
          <w:tcPr>
            <w:tcW w:w="115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39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中共巴中市委党史办公室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3" w:hRule="atLeast"/>
          <w:jc w:val="center"/>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71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50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3"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71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年，市委史志办围绕中心，服务大局，以“三市两地一枢纽”的发展定位和“两主三基、四向发力”的总体思路，充分发挥好史志部门“存史、资政、育人”的职能，做好党史地方志各项工作，编纂出版史志书刊，全面促进党史地方志事业实现跨越式发展，为</w:t>
            </w:r>
            <w:r>
              <w:rPr>
                <w:rFonts w:hint="eastAsia" w:ascii="宋体" w:hAnsi="宋体" w:cs="宋体"/>
                <w:i w:val="0"/>
                <w:color w:val="000000"/>
                <w:kern w:val="0"/>
                <w:sz w:val="18"/>
                <w:szCs w:val="18"/>
                <w:u w:val="none"/>
                <w:lang w:val="en-US" w:eastAsia="zh-CN" w:bidi="ar"/>
              </w:rPr>
              <w:t>市委市政府</w:t>
            </w:r>
            <w:r>
              <w:rPr>
                <w:rFonts w:ascii="宋体" w:hAnsi="宋体" w:eastAsia="宋体" w:cs="宋体"/>
                <w:i w:val="0"/>
                <w:color w:val="000000"/>
                <w:kern w:val="0"/>
                <w:sz w:val="18"/>
                <w:szCs w:val="18"/>
                <w:u w:val="none"/>
                <w:lang w:val="en-US" w:eastAsia="zh-CN" w:bidi="ar"/>
              </w:rPr>
              <w:t>资政提供智力服务。</w:t>
            </w:r>
          </w:p>
        </w:tc>
        <w:tc>
          <w:tcPr>
            <w:tcW w:w="50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充分发挥好史志部门“存史、资政、育人”的职能，对照年度目标，开展党史地方志各项业务工作及日常工作，编纂史志书籍，征集史志资料，撰写史志课题等，全面促进党史地方志事业实现跨越式发展。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1221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参公人员、事业人员、机关工勤人员工资、津补贴及其他工资性支出，日常工作开支办公费、差旅费、邮电费、党建活动经费、报刊杂志订阅、公务交通补贴、驻村、职工体检等支出，缴纳职工养老保险、医疗保险、失业工伤等保险及公积金缴费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223.87</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344.04</w:t>
            </w:r>
          </w:p>
        </w:tc>
        <w:tc>
          <w:tcPr>
            <w:tcW w:w="27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339.05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98.55%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w:t>
            </w:r>
          </w:p>
        </w:tc>
        <w:tc>
          <w:tcPr>
            <w:tcW w:w="2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color w:val="000000"/>
                <w:sz w:val="18"/>
                <w:szCs w:val="18"/>
                <w:u w:val="none"/>
              </w:rPr>
            </w:pPr>
            <w:r>
              <w:rPr>
                <w:rFonts w:hint="default"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223.87</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344.04</w:t>
            </w:r>
          </w:p>
        </w:tc>
        <w:tc>
          <w:tcPr>
            <w:tcW w:w="27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339.05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98.55%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color w:val="000000"/>
                <w:sz w:val="16"/>
                <w:szCs w:val="16"/>
                <w:u w:val="none"/>
              </w:rPr>
            </w:pP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c>
          <w:tcPr>
            <w:tcW w:w="27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9" w:hRule="atLeast"/>
          <w:jc w:val="center"/>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科目调整次数</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6"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预算编制准确率（计算方法为：∣（执行数-预算数）/预算数∣）</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1"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7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“三公经费”控制率[计算方法为：（三公经费实际支出数/预算安排数]×100%）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运转保障率</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22.5</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 w:hRule="atLeast"/>
          <w:jc w:val="center"/>
        </w:trPr>
        <w:tc>
          <w:tcPr>
            <w:tcW w:w="1125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97.5</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3"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 结论</w:t>
            </w:r>
          </w:p>
        </w:tc>
        <w:tc>
          <w:tcPr>
            <w:tcW w:w="1448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37"/>
                <w:rFonts w:ascii="宋体" w:hAnsi="宋体" w:eastAsia="宋体" w:cs="宋体"/>
                <w:sz w:val="18"/>
                <w:szCs w:val="18"/>
                <w:lang w:val="en-US" w:eastAsia="zh-CN" w:bidi="ar"/>
              </w:rPr>
              <w:t>市委史志办科学编制完成了年初部门预算，坚持围绕中心，服务大局，严格控制一般性支出，加强预算执行监管，在资金管理使用过程中，资金使用高效、节约，透明度高，做到应保尽保，确保了各项资金安全使用，高质量高效率完成了党史地方志各项工作目标任务，充分发挥好史志部门“存史、资政、育人”的职能，全面促进党史地方志事业实现跨越式发展，为</w:t>
            </w:r>
            <w:r>
              <w:rPr>
                <w:rStyle w:val="37"/>
                <w:rFonts w:ascii="宋体" w:hAnsi="宋体" w:cs="宋体"/>
                <w:sz w:val="18"/>
                <w:szCs w:val="18"/>
                <w:lang w:val="en-US" w:eastAsia="zh-CN" w:bidi="ar"/>
              </w:rPr>
              <w:t>市委市政府</w:t>
            </w:r>
            <w:r>
              <w:rPr>
                <w:rStyle w:val="37"/>
                <w:rFonts w:ascii="宋体" w:hAnsi="宋体" w:eastAsia="宋体" w:cs="宋体"/>
                <w:sz w:val="18"/>
                <w:szCs w:val="18"/>
                <w:lang w:val="en-US" w:eastAsia="zh-CN" w:bidi="ar"/>
              </w:rPr>
              <w:t>资政提供智力服务。根据绩效完成情况，自评得分：</w:t>
            </w:r>
            <w:r>
              <w:rPr>
                <w:rStyle w:val="38"/>
                <w:sz w:val="18"/>
                <w:szCs w:val="18"/>
                <w:lang w:val="en-US" w:eastAsia="zh-CN" w:bidi="ar"/>
              </w:rPr>
              <w:t>97.5分。</w:t>
            </w:r>
            <w:r>
              <w:rPr>
                <w:rStyle w:val="37"/>
                <w:rFonts w:ascii="宋体" w:hAnsi="宋体" w:eastAsia="宋体" w:cs="宋体"/>
                <w:sz w:val="18"/>
                <w:szCs w:val="18"/>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 问题</w:t>
            </w:r>
          </w:p>
        </w:tc>
        <w:tc>
          <w:tcPr>
            <w:tcW w:w="1448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一是与单位内部业务科室之间存在绩效工作衔接性不强的问题；二是缺乏绩效管理专业人才，预算绩效管理水平还有待提高。三是年初制定的绩效目标与实际产生目标存在差异。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3"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 措施</w:t>
            </w:r>
          </w:p>
        </w:tc>
        <w:tc>
          <w:tcPr>
            <w:tcW w:w="1448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细化预算编制工作，认真做好预算绩效申报表。严格按照预算编制的相关制定和要求进行预算编制，压缩一般性费用项目，进一步提高预算编制的科学性、合理性和准确性。持续深入加强项目资金监管，和业务科室加强工作沟通和联系，提高资金使用效率，并严格规范使用每一笔经费支出。加大培训力度，通过线上线下多渠道的开展自学进行业务培训，切实提高绩效管理水平和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 w:hRule="atLeast"/>
          <w:jc w:val="center"/>
        </w:trPr>
        <w:tc>
          <w:tcPr>
            <w:tcW w:w="84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674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bl>
    <w:p>
      <w:pPr>
        <w:keepNext w:val="0"/>
        <w:keepLines w:val="0"/>
        <w:widowControl/>
        <w:suppressLineNumbers w:val="0"/>
        <w:jc w:val="left"/>
        <w:textAlignment w:val="center"/>
        <w:rPr>
          <w:rFonts w:hint="default" w:ascii="黑体" w:hAnsi="黑体" w:eastAsia="黑体" w:cs="黑体"/>
          <w:i w:val="0"/>
          <w:color w:val="000000"/>
          <w:kern w:val="0"/>
          <w:sz w:val="18"/>
          <w:szCs w:val="18"/>
          <w:u w:val="none"/>
          <w:lang w:val="en-US" w:eastAsia="zh-CN" w:bidi="ar"/>
        </w:rPr>
      </w:pPr>
    </w:p>
    <w:p>
      <w:pPr>
        <w:keepNext w:val="0"/>
        <w:keepLines w:val="0"/>
        <w:widowControl/>
        <w:suppressLineNumbers w:val="0"/>
        <w:jc w:val="left"/>
        <w:textAlignment w:val="center"/>
        <w:rPr>
          <w:rFonts w:hint="default" w:ascii="黑体" w:hAnsi="黑体" w:eastAsia="黑体" w:cs="黑体"/>
          <w:i w:val="0"/>
          <w:color w:val="000000"/>
          <w:kern w:val="0"/>
          <w:sz w:val="18"/>
          <w:szCs w:val="18"/>
          <w:u w:val="none"/>
          <w:lang w:val="en-US" w:eastAsia="zh-CN" w:bidi="ar"/>
        </w:rPr>
      </w:pPr>
    </w:p>
    <w:tbl>
      <w:tblPr>
        <w:tblStyle w:val="14"/>
        <w:tblW w:w="151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2"/>
        <w:gridCol w:w="2265"/>
        <w:gridCol w:w="1607"/>
        <w:gridCol w:w="2758"/>
        <w:gridCol w:w="1107"/>
        <w:gridCol w:w="993"/>
        <w:gridCol w:w="692"/>
        <w:gridCol w:w="1154"/>
        <w:gridCol w:w="576"/>
        <w:gridCol w:w="576"/>
        <w:gridCol w:w="2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151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jc w:val="center"/>
        </w:trPr>
        <w:tc>
          <w:tcPr>
            <w:tcW w:w="2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221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51190022T000004976946-党史及地方志业务经费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jc w:val="center"/>
        </w:trPr>
        <w:tc>
          <w:tcPr>
            <w:tcW w:w="2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71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中共巴中市委党史办公室部门</w:t>
            </w:r>
          </w:p>
        </w:tc>
        <w:tc>
          <w:tcPr>
            <w:tcW w:w="115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39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中共巴中市委党史办公室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 w:hRule="atLeast"/>
          <w:jc w:val="center"/>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71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50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8"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715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完成党史、地方志业务工作，编写《执政实录》《巴中年鉴》，收集整理党史、地方志业务资料，开展党史、地方志宣教工作，开展党史、地方志专项课题研究。</w:t>
            </w:r>
          </w:p>
        </w:tc>
        <w:tc>
          <w:tcPr>
            <w:tcW w:w="50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完成党史、地方志业务工作，开展党史、地方志宣教工作，开展党史、地方志专项课题研究。完成《执政实录》《巴中年鉴》《巴中文旅康养图志》的编纂及出版印刷，收集整理党史、地方志业务资料。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8"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1221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完成《执政实录》（2022）、《巴中年鉴》（2022）、《巴中文旅康养图志》的编写及出版印刷。收集整理党史、地方志业务资料，开展党史、地方志宣教工作，开展党史、地方志专项课题研究等工作。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27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20.00</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20.00</w:t>
            </w:r>
          </w:p>
        </w:tc>
        <w:tc>
          <w:tcPr>
            <w:tcW w:w="27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19.99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99.95%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9.9</w:t>
            </w:r>
          </w:p>
        </w:tc>
        <w:tc>
          <w:tcPr>
            <w:tcW w:w="2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color w:val="000000"/>
                <w:sz w:val="16"/>
                <w:szCs w:val="16"/>
                <w:u w:val="none"/>
              </w:rPr>
            </w:pPr>
            <w:r>
              <w:rPr>
                <w:rFonts w:hint="default" w:ascii="黑体" w:hAnsi="黑体" w:eastAsia="黑体" w:cs="黑体"/>
                <w:i/>
                <w:color w:val="000000"/>
                <w:kern w:val="0"/>
                <w:sz w:val="16"/>
                <w:szCs w:val="16"/>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20.00</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20.00</w:t>
            </w:r>
          </w:p>
        </w:tc>
        <w:tc>
          <w:tcPr>
            <w:tcW w:w="27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19.99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99.95%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黑体" w:hAnsi="黑体" w:eastAsia="黑体" w:cs="黑体"/>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黑体" w:hAnsi="黑体" w:eastAsia="黑体" w:cs="黑体"/>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7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黑体" w:hAnsi="黑体" w:eastAsia="黑体" w:cs="黑体"/>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c>
          <w:tcPr>
            <w:tcW w:w="27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黑体" w:hAnsi="黑体" w:eastAsia="黑体" w:cs="黑体"/>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 单位</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编写《巴中年鉴》（2022）</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65</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万字</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开展乡镇志、村志编纂业务培训</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次/年</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党史、地方志宣教活动</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次/年</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聘用编写人员</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人/年</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编写《开国将帅川陕苏区卷》</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万字</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党史、地方志专项课题研究、征集党史、地方志业务资料、开展党史、地方志业务调研等</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7"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召开全市年鉴、乡镇志、村志编纂工作现场推进会</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次/年</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编写《中共巴中执政实录》（2021）</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万字</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编纂质量及要求</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党史、地方志各项工作完成时间</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完成党史、地方志业务工作，编写《执政实录》《巴中年鉴》《开国将帅川陕苏区卷》，收集整理党史、地方志业务资料，开展党史、地方志宣教工作，开展党史、地方志专项课题研究。</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万元</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7.4</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社会影响</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25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99.8</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7"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 结论</w:t>
            </w:r>
          </w:p>
        </w:tc>
        <w:tc>
          <w:tcPr>
            <w:tcW w:w="1448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2022年市委史志办按要求完成了省市下达的各项目标工作任务，完成了党史地方志业务书籍编纂工作，编写《巴中年鉴》（2022）公开出版印刷，编写《执政实录》（2021）并内部出版，编纂出版了《巴中文旅康养图志》，撰写了一批具有研究价值和现实意义的专著及理论研究文章，较好的完成了目标工作任务，积极服务巴中经济社会发展，彰显史志担当。根据项目绩效完成情况，自评得分：99.8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3"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 问题</w:t>
            </w:r>
          </w:p>
        </w:tc>
        <w:tc>
          <w:tcPr>
            <w:tcW w:w="1448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是与单位内部业务科室之间存在绩效工作衔接性不强职责不清的问题，项目绩效申报、自评等工作缺少业务科室的协调配合；二是缺乏绩效管理专业人才，预算绩效管理水平还有待提高。三是业务管理与绩效管理脱节，弱化了实施预算绩效管理的最基本的环节。随着财政改革步伐的推进，三是由于缺少绩效管理经验，缺乏绩效管理专业人才，预算绩效管理水平还有待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6"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 措施</w:t>
            </w:r>
          </w:p>
        </w:tc>
        <w:tc>
          <w:tcPr>
            <w:tcW w:w="1448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细化预算编制工作，认真做好预算绩效申报表。严格按照预算编制的相关制定和要求进行预算编制，进一步提高预算编制的科学性、合理性和准确性。在预算执行过程中，通过自行监控进行调整，保持绩效目标动态一致。持续深入加强项目资金监管,提高资金使用效率，并严格规范使用每一笔经费支出。加大培训力度。切实提高绩效管理水平和能力。在预算执行过程中，保持与绩效目标动态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jc w:val="center"/>
        </w:trPr>
        <w:tc>
          <w:tcPr>
            <w:tcW w:w="84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674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bl>
    <w:p>
      <w:pPr>
        <w:keepNext w:val="0"/>
        <w:keepLines w:val="0"/>
        <w:widowControl/>
        <w:suppressLineNumbers w:val="0"/>
        <w:jc w:val="left"/>
        <w:textAlignment w:val="center"/>
        <w:rPr>
          <w:rFonts w:hint="default" w:ascii="黑体" w:hAnsi="黑体" w:eastAsia="黑体" w:cs="黑体"/>
          <w:i w:val="0"/>
          <w:color w:val="000000"/>
          <w:kern w:val="0"/>
          <w:sz w:val="18"/>
          <w:szCs w:val="18"/>
          <w:u w:val="none"/>
          <w:lang w:val="en-US" w:eastAsia="zh-CN" w:bidi="ar"/>
        </w:rPr>
      </w:pPr>
    </w:p>
    <w:p>
      <w:pPr>
        <w:keepNext w:val="0"/>
        <w:keepLines w:val="0"/>
        <w:widowControl/>
        <w:suppressLineNumbers w:val="0"/>
        <w:jc w:val="left"/>
        <w:textAlignment w:val="center"/>
        <w:rPr>
          <w:rFonts w:hint="default" w:ascii="黑体" w:hAnsi="黑体" w:eastAsia="黑体" w:cs="黑体"/>
          <w:i w:val="0"/>
          <w:color w:val="000000"/>
          <w:kern w:val="0"/>
          <w:sz w:val="18"/>
          <w:szCs w:val="18"/>
          <w:u w:val="none"/>
          <w:lang w:val="en-US" w:eastAsia="zh-CN" w:bidi="ar"/>
        </w:rPr>
      </w:pPr>
    </w:p>
    <w:tbl>
      <w:tblPr>
        <w:tblStyle w:val="14"/>
        <w:tblW w:w="151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2"/>
        <w:gridCol w:w="2349"/>
        <w:gridCol w:w="1373"/>
        <w:gridCol w:w="2585"/>
        <w:gridCol w:w="946"/>
        <w:gridCol w:w="1477"/>
        <w:gridCol w:w="692"/>
        <w:gridCol w:w="1154"/>
        <w:gridCol w:w="576"/>
        <w:gridCol w:w="576"/>
        <w:gridCol w:w="2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8" w:hRule="atLeast"/>
          <w:jc w:val="center"/>
        </w:trPr>
        <w:tc>
          <w:tcPr>
            <w:tcW w:w="151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3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213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51190022T000004976972-党史地方志书籍印刷费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3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70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中共巴中市委党史办公室部门</w:t>
            </w:r>
          </w:p>
        </w:tc>
        <w:tc>
          <w:tcPr>
            <w:tcW w:w="1154"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39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中共巴中市委党史办公室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jc w:val="center"/>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70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50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7"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70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完成党史地方志业务书籍编纂工作，出版印刷《巴中年鉴》（20222）、《执政实录》（2021）两本业务书。</w:t>
            </w:r>
          </w:p>
        </w:tc>
        <w:tc>
          <w:tcPr>
            <w:tcW w:w="50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2022年，市委史志办完成各项目标工作任务，完成了党史地方志业务书籍编纂工作，公开出版印刷《巴中年鉴》（2022），内部出版《执政实录》（2021）。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1213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市委史志办完成各项目标工作任务，完成了党史地方志业务书籍编纂工作，公开出版印刷《巴中年鉴》（2022），内部出版《执政实录》（2021）。年中追加项目预算《川陕革命根据地斗争历程》出版印刷费17万。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atLeast"/>
          <w:jc w:val="center"/>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31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31.48</w:t>
            </w:r>
          </w:p>
        </w:tc>
        <w:tc>
          <w:tcPr>
            <w:tcW w:w="31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14.48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46.00%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w:t>
            </w:r>
          </w:p>
        </w:tc>
        <w:tc>
          <w:tcPr>
            <w:tcW w:w="2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年中追加项目《川陕革命根据地斗争历程》出版印刷费17万元，目前，《川陕革命根据地斗争历程》一书被国家定为重点审读项目，现中宣部正在审读，待审读完后按要求进行出版印刷。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31.48</w:t>
            </w:r>
          </w:p>
        </w:tc>
        <w:tc>
          <w:tcPr>
            <w:tcW w:w="31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14.48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46.00%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1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1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c>
          <w:tcPr>
            <w:tcW w:w="31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3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内部出版《执政实录》（2021）</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册</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公开出版印刷《巴中年鉴》（2022）</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册</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印刷出版质量及要求</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完成时间</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2022</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出版印刷费</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万元</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社会影响</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12</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满意度指标</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服务对象满意度指标</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主管部门满意度及阅读对象满意率</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1125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1448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市委史志办完成各项目标工作任务，完成了党史地方志业务书籍编纂工作，公开出版印刷《巴中年鉴》（2022），内部出版《执政实录》（2021），较好的完成了目标工作任务。但由于年中追加项目《川陕革命根据地斗争历程》出版印刷费17万元，目前，《川陕革命根据地斗争历程》一书被国家定为重点审读项目，现中宣部正在审读，待审读完后按要求进行出版印刷。根据项目绩效完成平路，自评得分：95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1448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一是绩效目标评价工作创新不够；二是缺乏绩效管理专业人才，预算绩效管理水平还有待提高。三是与年初制定的绩效目标与实际产生目标存在差异，精确度有待提高。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7"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1448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细化预算编制工作，建立绩效管理长效机制，继续认真做好预算绩效目标申报表。进一步提高预算编制的科学性、合理性和准确性。在预算执行过程中，通过自行监控进行调整，保持绩效目标动态一致。持续深入加强项目资金监管，提高资金使用效率，并严格规范使用每一笔经费支出。加大培训力度。切实提高绩效管理水平和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jc w:val="center"/>
        </w:trPr>
        <w:tc>
          <w:tcPr>
            <w:tcW w:w="79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72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bl>
    <w:p>
      <w:pPr>
        <w:keepNext w:val="0"/>
        <w:keepLines w:val="0"/>
        <w:widowControl/>
        <w:suppressLineNumbers w:val="0"/>
        <w:jc w:val="left"/>
        <w:textAlignment w:val="center"/>
        <w:rPr>
          <w:rFonts w:hint="default" w:ascii="黑体" w:hAnsi="黑体" w:eastAsia="黑体" w:cs="黑体"/>
          <w:i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黑体" w:hAnsi="黑体" w:eastAsia="黑体" w:cs="黑体"/>
          <w:i w:val="0"/>
          <w:color w:val="000000"/>
          <w:kern w:val="0"/>
          <w:sz w:val="18"/>
          <w:szCs w:val="18"/>
          <w:u w:val="none"/>
          <w:lang w:val="en-US" w:eastAsia="zh-CN" w:bidi="ar"/>
        </w:rPr>
      </w:pPr>
    </w:p>
    <w:tbl>
      <w:tblPr>
        <w:tblStyle w:val="14"/>
        <w:tblW w:w="151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2"/>
        <w:gridCol w:w="2349"/>
        <w:gridCol w:w="1373"/>
        <w:gridCol w:w="1835"/>
        <w:gridCol w:w="750"/>
        <w:gridCol w:w="946"/>
        <w:gridCol w:w="600"/>
        <w:gridCol w:w="565"/>
        <w:gridCol w:w="1004"/>
        <w:gridCol w:w="1154"/>
        <w:gridCol w:w="576"/>
        <w:gridCol w:w="576"/>
        <w:gridCol w:w="2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jc w:val="center"/>
        </w:trPr>
        <w:tc>
          <w:tcPr>
            <w:tcW w:w="15165"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3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1213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51190022T000005023752-史志馆运行维护经费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jc w:val="center"/>
        </w:trPr>
        <w:tc>
          <w:tcPr>
            <w:tcW w:w="3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55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中共巴中市委党史办公室部门</w:t>
            </w:r>
          </w:p>
        </w:tc>
        <w:tc>
          <w:tcPr>
            <w:tcW w:w="2723"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39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中共巴中市委党史办公室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32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892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2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确保史志馆正常、有序运转，不断丰富馆藏资料。</w:t>
            </w:r>
          </w:p>
        </w:tc>
        <w:tc>
          <w:tcPr>
            <w:tcW w:w="892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巴中市史志馆自2018年开馆以来，为各级机关及社会团体开展党建活动、</w:t>
            </w:r>
            <w:r>
              <w:rPr>
                <w:rFonts w:hint="eastAsia" w:ascii="宋体" w:hAnsi="宋体" w:cs="宋体"/>
                <w:i w:val="0"/>
                <w:color w:val="000000"/>
                <w:kern w:val="0"/>
                <w:sz w:val="18"/>
                <w:szCs w:val="18"/>
                <w:u w:val="none"/>
                <w:lang w:val="en-US" w:eastAsia="zh-CN" w:bidi="ar"/>
              </w:rPr>
              <w:t>主题教育</w:t>
            </w:r>
            <w:r>
              <w:rPr>
                <w:rFonts w:hint="eastAsia" w:ascii="宋体" w:hAnsi="宋体" w:eastAsia="宋体" w:cs="宋体"/>
                <w:i w:val="0"/>
                <w:color w:val="000000"/>
                <w:kern w:val="0"/>
                <w:sz w:val="18"/>
                <w:szCs w:val="18"/>
                <w:u w:val="none"/>
                <w:lang w:val="en-US" w:eastAsia="zh-CN" w:bidi="ar"/>
              </w:rPr>
              <w:t>活动</w:t>
            </w:r>
            <w:bookmarkStart w:id="111" w:name="_GoBack"/>
            <w:bookmarkEnd w:id="111"/>
            <w:r>
              <w:rPr>
                <w:rFonts w:hint="eastAsia" w:ascii="宋体" w:hAnsi="宋体" w:eastAsia="宋体" w:cs="宋体"/>
                <w:i w:val="0"/>
                <w:color w:val="000000"/>
                <w:kern w:val="0"/>
                <w:sz w:val="18"/>
                <w:szCs w:val="18"/>
                <w:u w:val="none"/>
                <w:lang w:val="en-US" w:eastAsia="zh-CN" w:bidi="ar"/>
              </w:rPr>
              <w:t>提供了阵地服务，为全市学校接受革命传统教育提供了阵地服务，向社会各界提供史志资料查阅服务，为来馆参观人员提供讲解服务。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7"/>
                <w:szCs w:val="17"/>
                <w:u w:val="none"/>
              </w:rPr>
            </w:pPr>
            <w:r>
              <w:rPr>
                <w:rFonts w:ascii="宋体" w:hAnsi="宋体" w:eastAsia="宋体" w:cs="宋体"/>
                <w:i w:val="0"/>
                <w:color w:val="000000"/>
                <w:kern w:val="0"/>
                <w:sz w:val="17"/>
                <w:szCs w:val="17"/>
                <w:u w:val="none"/>
                <w:lang w:val="en-US" w:eastAsia="zh-CN" w:bidi="ar"/>
              </w:rPr>
              <w:t>2.项目实施内容及过程概述</w:t>
            </w:r>
          </w:p>
        </w:tc>
        <w:tc>
          <w:tcPr>
            <w:tcW w:w="1213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征集、购买馆藏书籍及地情资料，维护馆内保洁、绿化、设施设备维护，为来馆人员提供讲解工作，确保史志馆正常、有序运转。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jc w:val="center"/>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2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31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w:t>
            </w:r>
          </w:p>
        </w:tc>
        <w:tc>
          <w:tcPr>
            <w:tcW w:w="2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w:t>
            </w:r>
          </w:p>
        </w:tc>
        <w:tc>
          <w:tcPr>
            <w:tcW w:w="31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2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w:t>
            </w:r>
          </w:p>
        </w:tc>
        <w:tc>
          <w:tcPr>
            <w:tcW w:w="2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w:t>
            </w:r>
          </w:p>
        </w:tc>
        <w:tc>
          <w:tcPr>
            <w:tcW w:w="31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1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2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31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c>
          <w:tcPr>
            <w:tcW w:w="2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c>
          <w:tcPr>
            <w:tcW w:w="31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2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 w:hRule="atLeast"/>
          <w:jc w:val="center"/>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2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13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2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接待来馆参观</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人/次</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征集购买馆藏书籍及地情资料</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册</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2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馆内购买史志书籍、资料</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万元</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馆内保洁、绿化、设施设备维护及租用存书库房</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万元</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jc w:val="center"/>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2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社会影响</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优良中低差</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1125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27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14483"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巴中市史志馆自2018年开馆以来，为各级机关及社会团体开展党建活动、</w:t>
            </w:r>
            <w:r>
              <w:rPr>
                <w:rFonts w:hint="eastAsia" w:ascii="宋体" w:hAnsi="宋体" w:cs="宋体"/>
                <w:i w:val="0"/>
                <w:color w:val="000000"/>
                <w:kern w:val="0"/>
                <w:sz w:val="18"/>
                <w:szCs w:val="18"/>
                <w:u w:val="none"/>
                <w:lang w:val="en-US" w:eastAsia="zh-CN" w:bidi="ar"/>
              </w:rPr>
              <w:t>主题教育</w:t>
            </w:r>
            <w:r>
              <w:rPr>
                <w:rFonts w:hint="eastAsia" w:ascii="宋体" w:hAnsi="宋体" w:eastAsia="宋体" w:cs="宋体"/>
                <w:i w:val="0"/>
                <w:color w:val="000000"/>
                <w:kern w:val="0"/>
                <w:sz w:val="18"/>
                <w:szCs w:val="18"/>
                <w:u w:val="none"/>
                <w:lang w:val="en-US" w:eastAsia="zh-CN" w:bidi="ar"/>
              </w:rPr>
              <w:t>活动提供了阵地服务，为全市学校接受革命传统教育提供了阵地服务，向社会各界提供史志资料查阅服务，为社会各界提供讲解服务。各项经费支付及时，较好地完成了预期目标。全年预算执行率100%，项目自评得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14483"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微软雅黑" w:hAnsi="微软雅黑" w:eastAsia="微软雅黑" w:cs="微软雅黑"/>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14483"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微软雅黑" w:hAnsi="微软雅黑" w:eastAsia="微软雅黑" w:cs="微软雅黑"/>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79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72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bl>
    <w:p>
      <w:pPr>
        <w:pageBreakBefore w:val="0"/>
        <w:kinsoku/>
        <w:wordWrap/>
        <w:overflowPunct/>
        <w:topLinePunct w:val="0"/>
        <w:bidi w:val="0"/>
        <w:spacing w:line="540" w:lineRule="exact"/>
        <w:jc w:val="center"/>
        <w:textAlignment w:val="auto"/>
        <w:outlineLvl w:val="0"/>
        <w:rPr>
          <w:rFonts w:hint="default" w:ascii="Times New Roman" w:hAnsi="Times New Roman" w:eastAsia="黑体" w:cs="Times New Roman"/>
          <w:color w:val="auto"/>
          <w:sz w:val="44"/>
          <w:szCs w:val="44"/>
          <w:highlight w:val="none"/>
        </w:rPr>
        <w:sectPr>
          <w:footerReference r:id="rId7" w:type="first"/>
          <w:footerReference r:id="rId6" w:type="default"/>
          <w:pgSz w:w="16838" w:h="11906" w:orient="landscape"/>
          <w:pgMar w:top="1531" w:right="1531" w:bottom="1531" w:left="1531" w:header="851" w:footer="992" w:gutter="0"/>
          <w:pgNumType w:fmt="decimal" w:start="29"/>
          <w:cols w:space="0" w:num="1"/>
          <w:titlePg/>
          <w:rtlGutter w:val="0"/>
          <w:docGrid w:type="lines" w:linePitch="315" w:charSpace="0"/>
        </w:sectPr>
      </w:pPr>
    </w:p>
    <w:p>
      <w:pPr>
        <w:pageBreakBefore w:val="0"/>
        <w:kinsoku/>
        <w:wordWrap/>
        <w:overflowPunct/>
        <w:topLinePunct w:val="0"/>
        <w:bidi w:val="0"/>
        <w:spacing w:line="540" w:lineRule="exact"/>
        <w:jc w:val="center"/>
        <w:textAlignment w:val="auto"/>
        <w:outlineLvl w:val="0"/>
        <w:rPr>
          <w:rStyle w:val="28"/>
          <w:rFonts w:hint="default" w:ascii="Times New Roman" w:hAnsi="Times New Roman" w:eastAsia="黑体" w:cs="Times New Roman"/>
          <w:b w:val="0"/>
          <w:color w:val="auto"/>
          <w:highlight w:val="none"/>
        </w:rPr>
      </w:pPr>
      <w:r>
        <w:rPr>
          <w:rFonts w:hint="default" w:ascii="Times New Roman" w:hAnsi="Times New Roman" w:eastAsia="黑体" w:cs="Times New Roman"/>
          <w:color w:val="auto"/>
          <w:sz w:val="44"/>
          <w:szCs w:val="44"/>
          <w:highlight w:val="none"/>
        </w:rPr>
        <w:t>第</w:t>
      </w:r>
      <w:r>
        <w:rPr>
          <w:rStyle w:val="28"/>
          <w:rFonts w:hint="default" w:ascii="Times New Roman" w:hAnsi="Times New Roman" w:eastAsia="黑体" w:cs="Times New Roman"/>
          <w:b w:val="0"/>
          <w:color w:val="auto"/>
          <w:highlight w:val="none"/>
        </w:rPr>
        <w:t>五部分 附</w:t>
      </w:r>
      <w:r>
        <w:rPr>
          <w:rStyle w:val="28"/>
          <w:rFonts w:hint="default" w:ascii="Times New Roman" w:hAnsi="Times New Roman" w:eastAsia="黑体" w:cs="Times New Roman"/>
          <w:b w:val="0"/>
          <w:color w:val="auto"/>
          <w:highlight w:val="none"/>
          <w:lang w:val="en"/>
        </w:rPr>
        <w:t xml:space="preserve"> </w:t>
      </w:r>
      <w:r>
        <w:rPr>
          <w:rStyle w:val="28"/>
          <w:rFonts w:hint="default" w:ascii="Times New Roman" w:hAnsi="Times New Roman" w:eastAsia="黑体" w:cs="Times New Roman"/>
          <w:b w:val="0"/>
          <w:color w:val="auto"/>
          <w:highlight w:val="none"/>
        </w:rPr>
        <w:t>表</w:t>
      </w:r>
      <w:bookmarkEnd w:id="80"/>
      <w:bookmarkEnd w:id="83"/>
      <w:bookmarkEnd w:id="84"/>
      <w:bookmarkStart w:id="85" w:name="_Toc15396619"/>
    </w:p>
    <w:p>
      <w:pPr>
        <w:pStyle w:val="2"/>
        <w:rPr>
          <w:rFonts w:hint="default"/>
        </w:rPr>
      </w:pPr>
    </w:p>
    <w:p>
      <w:pPr>
        <w:pStyle w:val="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 w:eastAsia="zh-CN" w:bidi="ar-SA"/>
        </w:rPr>
      </w:pPr>
      <w:bookmarkStart w:id="86" w:name="_Toc2757"/>
      <w:r>
        <w:rPr>
          <w:rFonts w:hint="default" w:ascii="Times New Roman" w:hAnsi="Times New Roman" w:eastAsia="仿宋_GB2312" w:cs="Times New Roman"/>
          <w:kern w:val="2"/>
          <w:sz w:val="32"/>
          <w:szCs w:val="32"/>
          <w:lang w:val="en" w:eastAsia="zh-CN" w:bidi="ar-SA"/>
        </w:rPr>
        <w:t>一、收入支出决算总表</w:t>
      </w:r>
      <w:bookmarkEnd w:id="85"/>
      <w:bookmarkEnd w:id="86"/>
    </w:p>
    <w:p>
      <w:pPr>
        <w:pStyle w:val="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 w:eastAsia="zh-CN" w:bidi="ar-SA"/>
        </w:rPr>
      </w:pPr>
      <w:bookmarkStart w:id="87" w:name="_Toc15396620"/>
      <w:bookmarkStart w:id="88" w:name="_Toc29781"/>
      <w:r>
        <w:rPr>
          <w:rFonts w:hint="default" w:ascii="Times New Roman" w:hAnsi="Times New Roman" w:eastAsia="仿宋_GB2312" w:cs="Times New Roman"/>
          <w:kern w:val="2"/>
          <w:sz w:val="32"/>
          <w:szCs w:val="32"/>
          <w:lang w:val="en" w:eastAsia="zh-CN" w:bidi="ar-SA"/>
        </w:rPr>
        <w:t>二、收入决算表</w:t>
      </w:r>
      <w:bookmarkEnd w:id="87"/>
      <w:bookmarkEnd w:id="88"/>
    </w:p>
    <w:p>
      <w:pPr>
        <w:pStyle w:val="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 w:eastAsia="zh-CN" w:bidi="ar-SA"/>
        </w:rPr>
      </w:pPr>
      <w:bookmarkStart w:id="89" w:name="_Toc32502"/>
      <w:bookmarkStart w:id="90" w:name="_Toc15396621"/>
      <w:r>
        <w:rPr>
          <w:rFonts w:hint="default" w:ascii="Times New Roman" w:hAnsi="Times New Roman" w:eastAsia="仿宋_GB2312" w:cs="Times New Roman"/>
          <w:kern w:val="2"/>
          <w:sz w:val="32"/>
          <w:szCs w:val="32"/>
          <w:lang w:val="en" w:eastAsia="zh-CN" w:bidi="ar-SA"/>
        </w:rPr>
        <w:t>三、支出决算表</w:t>
      </w:r>
      <w:bookmarkEnd w:id="89"/>
      <w:bookmarkEnd w:id="90"/>
    </w:p>
    <w:p>
      <w:pPr>
        <w:pStyle w:val="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 w:eastAsia="zh-CN" w:bidi="ar-SA"/>
        </w:rPr>
      </w:pPr>
      <w:bookmarkStart w:id="91" w:name="_Toc2005"/>
      <w:bookmarkStart w:id="92" w:name="_Toc15396622"/>
      <w:r>
        <w:rPr>
          <w:rFonts w:hint="default" w:ascii="Times New Roman" w:hAnsi="Times New Roman" w:eastAsia="仿宋_GB2312" w:cs="Times New Roman"/>
          <w:kern w:val="2"/>
          <w:sz w:val="32"/>
          <w:szCs w:val="32"/>
          <w:lang w:val="en" w:eastAsia="zh-CN" w:bidi="ar-SA"/>
        </w:rPr>
        <w:t>四、财政拨款收入支出决算总表</w:t>
      </w:r>
      <w:bookmarkEnd w:id="91"/>
      <w:bookmarkEnd w:id="92"/>
    </w:p>
    <w:p>
      <w:pPr>
        <w:pStyle w:val="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 w:eastAsia="zh-CN" w:bidi="ar-SA"/>
        </w:rPr>
      </w:pPr>
      <w:bookmarkStart w:id="93" w:name="_Toc14055"/>
      <w:bookmarkStart w:id="94" w:name="_Toc15396623"/>
      <w:r>
        <w:rPr>
          <w:rFonts w:hint="default" w:ascii="Times New Roman" w:hAnsi="Times New Roman" w:eastAsia="仿宋_GB2312" w:cs="Times New Roman"/>
          <w:kern w:val="2"/>
          <w:sz w:val="32"/>
          <w:szCs w:val="32"/>
          <w:lang w:val="en" w:eastAsia="zh-CN" w:bidi="ar-SA"/>
        </w:rPr>
        <w:t>五、财政拨款支出决算明细表</w:t>
      </w:r>
      <w:bookmarkEnd w:id="93"/>
      <w:bookmarkEnd w:id="94"/>
      <w:bookmarkStart w:id="95" w:name="_Toc15396624"/>
    </w:p>
    <w:p>
      <w:pPr>
        <w:pStyle w:val="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 w:eastAsia="zh-CN" w:bidi="ar-SA"/>
        </w:rPr>
      </w:pPr>
      <w:bookmarkStart w:id="96" w:name="_Toc16595"/>
      <w:r>
        <w:rPr>
          <w:rFonts w:hint="default" w:ascii="Times New Roman" w:hAnsi="Times New Roman" w:eastAsia="仿宋_GB2312" w:cs="Times New Roman"/>
          <w:kern w:val="2"/>
          <w:sz w:val="32"/>
          <w:szCs w:val="32"/>
          <w:lang w:val="en" w:eastAsia="zh-CN" w:bidi="ar-SA"/>
        </w:rPr>
        <w:t>六、一般公共预算财政拨款支出决算表</w:t>
      </w:r>
      <w:bookmarkEnd w:id="95"/>
      <w:bookmarkEnd w:id="96"/>
    </w:p>
    <w:p>
      <w:pPr>
        <w:pStyle w:val="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 w:eastAsia="zh-CN" w:bidi="ar-SA"/>
        </w:rPr>
      </w:pPr>
      <w:bookmarkStart w:id="97" w:name="_Toc16663"/>
      <w:bookmarkStart w:id="98" w:name="_Toc15396625"/>
      <w:r>
        <w:rPr>
          <w:rFonts w:hint="default" w:ascii="Times New Roman" w:hAnsi="Times New Roman" w:eastAsia="仿宋_GB2312" w:cs="Times New Roman"/>
          <w:kern w:val="2"/>
          <w:sz w:val="32"/>
          <w:szCs w:val="32"/>
          <w:lang w:val="en" w:eastAsia="zh-CN" w:bidi="ar-SA"/>
        </w:rPr>
        <w:t>七、一般公共预算财政拨款支出决算明细表</w:t>
      </w:r>
      <w:bookmarkEnd w:id="97"/>
      <w:bookmarkEnd w:id="98"/>
    </w:p>
    <w:p>
      <w:pPr>
        <w:pStyle w:val="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 w:eastAsia="zh-CN" w:bidi="ar-SA"/>
        </w:rPr>
      </w:pPr>
      <w:bookmarkStart w:id="99" w:name="_Toc31712"/>
      <w:bookmarkStart w:id="100" w:name="_Toc15396626"/>
      <w:r>
        <w:rPr>
          <w:rFonts w:hint="default" w:ascii="Times New Roman" w:hAnsi="Times New Roman" w:eastAsia="仿宋_GB2312" w:cs="Times New Roman"/>
          <w:kern w:val="2"/>
          <w:sz w:val="32"/>
          <w:szCs w:val="32"/>
          <w:lang w:val="en" w:eastAsia="zh-CN" w:bidi="ar-SA"/>
        </w:rPr>
        <w:t>八、一般公共预算财政拨款基本支出决算表</w:t>
      </w:r>
      <w:bookmarkEnd w:id="99"/>
      <w:bookmarkEnd w:id="100"/>
    </w:p>
    <w:p>
      <w:pPr>
        <w:pStyle w:val="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 w:eastAsia="zh-CN" w:bidi="ar-SA"/>
        </w:rPr>
      </w:pPr>
      <w:bookmarkStart w:id="101" w:name="_Toc15396627"/>
      <w:bookmarkStart w:id="102" w:name="_Toc6077"/>
      <w:r>
        <w:rPr>
          <w:rFonts w:hint="default" w:ascii="Times New Roman" w:hAnsi="Times New Roman" w:eastAsia="仿宋_GB2312" w:cs="Times New Roman"/>
          <w:kern w:val="2"/>
          <w:sz w:val="32"/>
          <w:szCs w:val="32"/>
          <w:lang w:val="en" w:eastAsia="zh-CN" w:bidi="ar-SA"/>
        </w:rPr>
        <w:t>九、一般公共预算财政拨款项目支出决算表</w:t>
      </w:r>
      <w:bookmarkEnd w:id="101"/>
      <w:bookmarkEnd w:id="102"/>
    </w:p>
    <w:p>
      <w:pPr>
        <w:pStyle w:val="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 w:eastAsia="zh-CN" w:bidi="ar-SA"/>
        </w:rPr>
      </w:pPr>
      <w:bookmarkStart w:id="103" w:name="_Toc15396628"/>
      <w:bookmarkStart w:id="104" w:name="_Toc8880"/>
      <w:r>
        <w:rPr>
          <w:rFonts w:hint="default" w:ascii="Times New Roman" w:hAnsi="Times New Roman" w:eastAsia="仿宋_GB2312" w:cs="Times New Roman"/>
          <w:kern w:val="2"/>
          <w:sz w:val="32"/>
          <w:szCs w:val="32"/>
          <w:lang w:val="en" w:eastAsia="zh-CN" w:bidi="ar-SA"/>
        </w:rPr>
        <w:t>十、</w:t>
      </w:r>
      <w:bookmarkEnd w:id="103"/>
      <w:r>
        <w:rPr>
          <w:rFonts w:hint="default" w:ascii="Times New Roman" w:hAnsi="Times New Roman" w:eastAsia="仿宋_GB2312" w:cs="Times New Roman"/>
          <w:kern w:val="2"/>
          <w:sz w:val="32"/>
          <w:szCs w:val="32"/>
          <w:lang w:val="en" w:eastAsia="zh-CN" w:bidi="ar-SA"/>
        </w:rPr>
        <w:t>政府性基金预算财政拨款收入支出决算表</w:t>
      </w:r>
      <w:bookmarkEnd w:id="104"/>
    </w:p>
    <w:p>
      <w:pPr>
        <w:pStyle w:val="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 w:eastAsia="zh-CN" w:bidi="ar-SA"/>
        </w:rPr>
      </w:pPr>
      <w:bookmarkStart w:id="105" w:name="_Toc15396629"/>
      <w:bookmarkStart w:id="106" w:name="_Toc23717"/>
      <w:r>
        <w:rPr>
          <w:rFonts w:hint="default" w:ascii="Times New Roman" w:hAnsi="Times New Roman" w:eastAsia="仿宋_GB2312" w:cs="Times New Roman"/>
          <w:kern w:val="2"/>
          <w:sz w:val="32"/>
          <w:szCs w:val="32"/>
          <w:lang w:val="en" w:eastAsia="zh-CN" w:bidi="ar-SA"/>
        </w:rPr>
        <w:t>十一、</w:t>
      </w:r>
      <w:bookmarkEnd w:id="105"/>
      <w:r>
        <w:rPr>
          <w:rFonts w:hint="default" w:ascii="Times New Roman" w:hAnsi="Times New Roman" w:eastAsia="仿宋_GB2312" w:cs="Times New Roman"/>
          <w:kern w:val="2"/>
          <w:sz w:val="32"/>
          <w:szCs w:val="32"/>
          <w:lang w:val="en" w:eastAsia="zh-CN" w:bidi="ar-SA"/>
        </w:rPr>
        <w:t>国有资本经营预算财政拨款收入支出决算表</w:t>
      </w:r>
      <w:bookmarkEnd w:id="106"/>
    </w:p>
    <w:p>
      <w:pPr>
        <w:pStyle w:val="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 w:eastAsia="zh-CN" w:bidi="ar-SA"/>
        </w:rPr>
      </w:pPr>
      <w:bookmarkStart w:id="107" w:name="_Toc15396630"/>
      <w:bookmarkStart w:id="108" w:name="_Toc31497"/>
      <w:r>
        <w:rPr>
          <w:rFonts w:hint="default" w:ascii="Times New Roman" w:hAnsi="Times New Roman" w:eastAsia="仿宋_GB2312" w:cs="Times New Roman"/>
          <w:kern w:val="2"/>
          <w:sz w:val="32"/>
          <w:szCs w:val="32"/>
          <w:lang w:val="en" w:eastAsia="zh-CN" w:bidi="ar-SA"/>
        </w:rPr>
        <w:t>十二、</w:t>
      </w:r>
      <w:bookmarkEnd w:id="107"/>
      <w:r>
        <w:rPr>
          <w:rFonts w:hint="default" w:ascii="Times New Roman" w:hAnsi="Times New Roman" w:eastAsia="仿宋_GB2312" w:cs="Times New Roman"/>
          <w:kern w:val="2"/>
          <w:sz w:val="32"/>
          <w:szCs w:val="32"/>
          <w:lang w:val="en" w:eastAsia="zh-CN" w:bidi="ar-SA"/>
        </w:rPr>
        <w:t>国有资本经营预算财政拨款支出决算表</w:t>
      </w:r>
      <w:bookmarkEnd w:id="108"/>
    </w:p>
    <w:p>
      <w:pPr>
        <w:pStyle w:val="2"/>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kern w:val="2"/>
          <w:sz w:val="32"/>
          <w:szCs w:val="32"/>
          <w:lang w:val="en" w:eastAsia="zh-CN" w:bidi="ar-SA"/>
        </w:rPr>
      </w:pPr>
      <w:bookmarkStart w:id="109" w:name="_Toc15396631"/>
      <w:bookmarkStart w:id="110" w:name="_Toc25862"/>
      <w:r>
        <w:rPr>
          <w:rFonts w:hint="default" w:ascii="Times New Roman" w:hAnsi="Times New Roman" w:eastAsia="仿宋_GB2312" w:cs="Times New Roman"/>
          <w:kern w:val="2"/>
          <w:sz w:val="32"/>
          <w:szCs w:val="32"/>
          <w:lang w:val="en" w:eastAsia="zh-CN" w:bidi="ar-SA"/>
        </w:rPr>
        <w:t>十三、</w:t>
      </w:r>
      <w:bookmarkEnd w:id="109"/>
      <w:r>
        <w:rPr>
          <w:rFonts w:hint="default" w:ascii="Times New Roman" w:hAnsi="Times New Roman" w:eastAsia="仿宋_GB2312" w:cs="Times New Roman"/>
          <w:kern w:val="2"/>
          <w:sz w:val="32"/>
          <w:szCs w:val="32"/>
          <w:lang w:val="en" w:eastAsia="zh-CN" w:bidi="ar-SA"/>
        </w:rPr>
        <w:t>财政拨款“三公”经费支出决算表</w:t>
      </w:r>
      <w:bookmarkEnd w:id="110"/>
    </w:p>
    <w:sectPr>
      <w:footerReference r:id="rId9" w:type="first"/>
      <w:footerReference r:id="rId8" w:type="default"/>
      <w:pgSz w:w="11906" w:h="16838"/>
      <w:pgMar w:top="1531" w:right="1531" w:bottom="1531" w:left="1531" w:header="851" w:footer="992" w:gutter="0"/>
      <w:pgNumType w:fmt="decimal" w:start="36"/>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D404449-42CC-4B4C-9810-F0E636A0656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54AD0B0B-E9D6-4F09-8D0F-16C21EFEB2CD}"/>
  </w:font>
  <w:font w:name="仿宋">
    <w:panose1 w:val="02010609060101010101"/>
    <w:charset w:val="86"/>
    <w:family w:val="modern"/>
    <w:pitch w:val="default"/>
    <w:sig w:usb0="800002BF" w:usb1="38CF7CFA" w:usb2="00000016" w:usb3="00000000" w:csb0="00040001" w:csb1="00000000"/>
    <w:embedRegular r:id="rId3" w:fontKey="{E4FF789A-C0D7-4EBE-A1EF-0527B4C3198B}"/>
  </w:font>
  <w:font w:name="??">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embedRegular r:id="rId4" w:fontKey="{BAFA1AD5-BE0F-4C0C-85D8-27E59AD90ECB}"/>
  </w:font>
  <w:font w:name="方正小标宋简体">
    <w:panose1 w:val="02000000000000000000"/>
    <w:charset w:val="86"/>
    <w:family w:val="script"/>
    <w:pitch w:val="default"/>
    <w:sig w:usb0="00000001" w:usb1="08000000" w:usb2="00000000" w:usb3="00000000" w:csb0="00040000" w:csb1="00000000"/>
    <w:embedRegular r:id="rId5" w:fontKey="{E17418B3-AF32-43DF-9798-230DBD458289}"/>
  </w:font>
  <w:font w:name="方正仿宋_GBK">
    <w:panose1 w:val="03000509000000000000"/>
    <w:charset w:val="86"/>
    <w:family w:val="script"/>
    <w:pitch w:val="default"/>
    <w:sig w:usb0="00000001" w:usb1="080E0000" w:usb2="00000000" w:usb3="00000000" w:csb0="00040000" w:csb1="00000000"/>
    <w:embedRegular r:id="rId6" w:fontKey="{422A2077-2EB6-4298-BB17-BC152AA70AA7}"/>
  </w:font>
  <w:font w:name="楷体_GB2312">
    <w:panose1 w:val="02010609030101010101"/>
    <w:charset w:val="86"/>
    <w:family w:val="auto"/>
    <w:pitch w:val="default"/>
    <w:sig w:usb0="00000001" w:usb1="080E0000" w:usb2="00000000" w:usb3="00000000" w:csb0="00040000" w:csb1="00000000"/>
    <w:embedRegular r:id="rId7" w:fontKey="{6F052355-1E9B-43DC-BBCF-D9F2ACAC4DBF}"/>
  </w:font>
  <w:font w:name="楷体">
    <w:panose1 w:val="02010609060101010101"/>
    <w:charset w:val="86"/>
    <w:family w:val="auto"/>
    <w:pitch w:val="default"/>
    <w:sig w:usb0="800002BF" w:usb1="38CF7CFA" w:usb2="00000016" w:usb3="00000000" w:csb0="00040001" w:csb1="00000000"/>
    <w:embedRegular r:id="rId8" w:fontKey="{EAF1014C-36E6-451A-977D-4205385E448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2ZmMyMGQzNmZlNTM3YmNjYmYzZGJlZDVmMGE2Nz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2143E91"/>
    <w:rsid w:val="066E0107"/>
    <w:rsid w:val="07996F6E"/>
    <w:rsid w:val="0A2032A3"/>
    <w:rsid w:val="0D3C03AE"/>
    <w:rsid w:val="0EFFAF89"/>
    <w:rsid w:val="0F98263C"/>
    <w:rsid w:val="0FF9F896"/>
    <w:rsid w:val="101860EC"/>
    <w:rsid w:val="10C055FF"/>
    <w:rsid w:val="118107EC"/>
    <w:rsid w:val="13D50BC4"/>
    <w:rsid w:val="15FB5B4F"/>
    <w:rsid w:val="16BB723D"/>
    <w:rsid w:val="17CD7520"/>
    <w:rsid w:val="1AF7B251"/>
    <w:rsid w:val="1BCACD9A"/>
    <w:rsid w:val="1BE8440E"/>
    <w:rsid w:val="1D155CEE"/>
    <w:rsid w:val="1DF7FB63"/>
    <w:rsid w:val="1F7B6418"/>
    <w:rsid w:val="1FF35744"/>
    <w:rsid w:val="23860B96"/>
    <w:rsid w:val="23FD4363"/>
    <w:rsid w:val="240371BF"/>
    <w:rsid w:val="26727C5E"/>
    <w:rsid w:val="2757DC81"/>
    <w:rsid w:val="27F7CFE4"/>
    <w:rsid w:val="29FD04D3"/>
    <w:rsid w:val="2B9B1157"/>
    <w:rsid w:val="2BD3B086"/>
    <w:rsid w:val="2BE22AE1"/>
    <w:rsid w:val="2BFA6A22"/>
    <w:rsid w:val="2C8A61B5"/>
    <w:rsid w:val="2DF04E50"/>
    <w:rsid w:val="2DF330C5"/>
    <w:rsid w:val="2F040D46"/>
    <w:rsid w:val="2FFF792A"/>
    <w:rsid w:val="319F7F4E"/>
    <w:rsid w:val="3304709D"/>
    <w:rsid w:val="334F6EA3"/>
    <w:rsid w:val="33F2B52D"/>
    <w:rsid w:val="3657EFF9"/>
    <w:rsid w:val="36AA5135"/>
    <w:rsid w:val="376D39B2"/>
    <w:rsid w:val="37E16F03"/>
    <w:rsid w:val="387602DD"/>
    <w:rsid w:val="38D469F0"/>
    <w:rsid w:val="3A5F3167"/>
    <w:rsid w:val="3B763D44"/>
    <w:rsid w:val="3BFD4F44"/>
    <w:rsid w:val="3CBFDDAC"/>
    <w:rsid w:val="3D98207C"/>
    <w:rsid w:val="3DABF01A"/>
    <w:rsid w:val="3DCF946A"/>
    <w:rsid w:val="3DFD5F3C"/>
    <w:rsid w:val="3DFD9C98"/>
    <w:rsid w:val="3E78745D"/>
    <w:rsid w:val="3E7D517D"/>
    <w:rsid w:val="3EB7C390"/>
    <w:rsid w:val="3EF55FE3"/>
    <w:rsid w:val="3F5548C0"/>
    <w:rsid w:val="3F8C4DDE"/>
    <w:rsid w:val="3FDFC10F"/>
    <w:rsid w:val="3FE66A1C"/>
    <w:rsid w:val="44E268DA"/>
    <w:rsid w:val="459EFF90"/>
    <w:rsid w:val="47AB8CE4"/>
    <w:rsid w:val="48563D2E"/>
    <w:rsid w:val="4A627F82"/>
    <w:rsid w:val="4B0E749A"/>
    <w:rsid w:val="4B4F25DA"/>
    <w:rsid w:val="4BE068DB"/>
    <w:rsid w:val="4D577224"/>
    <w:rsid w:val="4E5ACAF9"/>
    <w:rsid w:val="4E617EF1"/>
    <w:rsid w:val="4EAB630A"/>
    <w:rsid w:val="4ECE2238"/>
    <w:rsid w:val="4ED6FB80"/>
    <w:rsid w:val="4ED73146"/>
    <w:rsid w:val="4FB9CEE4"/>
    <w:rsid w:val="4FFC3969"/>
    <w:rsid w:val="4FFFDB47"/>
    <w:rsid w:val="52FE3399"/>
    <w:rsid w:val="537E6D0A"/>
    <w:rsid w:val="559B2FF3"/>
    <w:rsid w:val="55FF0836"/>
    <w:rsid w:val="5635101B"/>
    <w:rsid w:val="59DBA726"/>
    <w:rsid w:val="5AF71158"/>
    <w:rsid w:val="5AF92295"/>
    <w:rsid w:val="5CD71FC4"/>
    <w:rsid w:val="5EBF4426"/>
    <w:rsid w:val="5EDF0A4A"/>
    <w:rsid w:val="607F4455"/>
    <w:rsid w:val="65FB9A28"/>
    <w:rsid w:val="67EF473C"/>
    <w:rsid w:val="69E66D89"/>
    <w:rsid w:val="69EB5A75"/>
    <w:rsid w:val="6AAA592E"/>
    <w:rsid w:val="6B3B6F48"/>
    <w:rsid w:val="6B7C9873"/>
    <w:rsid w:val="6BEF27AB"/>
    <w:rsid w:val="6BEFD723"/>
    <w:rsid w:val="6BFF4EB6"/>
    <w:rsid w:val="6C4A05C8"/>
    <w:rsid w:val="6D7D1BD1"/>
    <w:rsid w:val="6D7F3786"/>
    <w:rsid w:val="6D97A25A"/>
    <w:rsid w:val="6E23D834"/>
    <w:rsid w:val="6E46A1C7"/>
    <w:rsid w:val="6E7E3605"/>
    <w:rsid w:val="6E7F6B06"/>
    <w:rsid w:val="6EB3A9C8"/>
    <w:rsid w:val="6EFBA21D"/>
    <w:rsid w:val="6F6EFD3B"/>
    <w:rsid w:val="6F6F99B8"/>
    <w:rsid w:val="6FAAB869"/>
    <w:rsid w:val="6FEF91A9"/>
    <w:rsid w:val="6FF5CC65"/>
    <w:rsid w:val="6FF7710E"/>
    <w:rsid w:val="6FF78023"/>
    <w:rsid w:val="6FFA26FD"/>
    <w:rsid w:val="6FFF80D8"/>
    <w:rsid w:val="715C0E4B"/>
    <w:rsid w:val="71BADCB1"/>
    <w:rsid w:val="71F6BB6A"/>
    <w:rsid w:val="72734D90"/>
    <w:rsid w:val="73AD73D5"/>
    <w:rsid w:val="73B6EB34"/>
    <w:rsid w:val="73DDD4C7"/>
    <w:rsid w:val="73E6A015"/>
    <w:rsid w:val="73FF549A"/>
    <w:rsid w:val="744731E5"/>
    <w:rsid w:val="747C2B45"/>
    <w:rsid w:val="74F63F29"/>
    <w:rsid w:val="767F7814"/>
    <w:rsid w:val="76E3355F"/>
    <w:rsid w:val="777DE9B1"/>
    <w:rsid w:val="778769C8"/>
    <w:rsid w:val="77AC8090"/>
    <w:rsid w:val="77B94512"/>
    <w:rsid w:val="77DCDCEE"/>
    <w:rsid w:val="77E90AAD"/>
    <w:rsid w:val="77FF37A5"/>
    <w:rsid w:val="77FFA6B6"/>
    <w:rsid w:val="799DFE30"/>
    <w:rsid w:val="79EE5BA4"/>
    <w:rsid w:val="7A71C68E"/>
    <w:rsid w:val="7A894339"/>
    <w:rsid w:val="7AFB547C"/>
    <w:rsid w:val="7BDE08CD"/>
    <w:rsid w:val="7BFD4EB4"/>
    <w:rsid w:val="7C5BF723"/>
    <w:rsid w:val="7C7DA004"/>
    <w:rsid w:val="7C7F71FD"/>
    <w:rsid w:val="7CF22F9C"/>
    <w:rsid w:val="7D5D684F"/>
    <w:rsid w:val="7D77773C"/>
    <w:rsid w:val="7D7D9B3A"/>
    <w:rsid w:val="7DAE0682"/>
    <w:rsid w:val="7DAED033"/>
    <w:rsid w:val="7DB44433"/>
    <w:rsid w:val="7DBF9BD4"/>
    <w:rsid w:val="7DCECFC1"/>
    <w:rsid w:val="7DDF38BB"/>
    <w:rsid w:val="7E4FC0D9"/>
    <w:rsid w:val="7E6F60A9"/>
    <w:rsid w:val="7ECE8939"/>
    <w:rsid w:val="7EEF11D3"/>
    <w:rsid w:val="7EEF3C08"/>
    <w:rsid w:val="7EEF7C5A"/>
    <w:rsid w:val="7EFC318C"/>
    <w:rsid w:val="7EFD04E1"/>
    <w:rsid w:val="7F9B7DDF"/>
    <w:rsid w:val="7FA30C79"/>
    <w:rsid w:val="7FB7269E"/>
    <w:rsid w:val="7FB82BDC"/>
    <w:rsid w:val="7FBF1E30"/>
    <w:rsid w:val="7FC96657"/>
    <w:rsid w:val="7FDC898E"/>
    <w:rsid w:val="7FEDAEB8"/>
    <w:rsid w:val="7FEFA032"/>
    <w:rsid w:val="7FF4ECE5"/>
    <w:rsid w:val="7FFAFF7E"/>
    <w:rsid w:val="7FFB139B"/>
    <w:rsid w:val="7FFB4A7E"/>
    <w:rsid w:val="7FFD85A8"/>
    <w:rsid w:val="7FFF844A"/>
    <w:rsid w:val="7FFFAE29"/>
    <w:rsid w:val="7FFFFEEF"/>
    <w:rsid w:val="87E72DE7"/>
    <w:rsid w:val="8EFF75D2"/>
    <w:rsid w:val="8FD5F5AF"/>
    <w:rsid w:val="974F171B"/>
    <w:rsid w:val="97FF60A0"/>
    <w:rsid w:val="9B8DF33E"/>
    <w:rsid w:val="9DFD5C90"/>
    <w:rsid w:val="9EAF2110"/>
    <w:rsid w:val="9F7FB8EE"/>
    <w:rsid w:val="9FB86BE3"/>
    <w:rsid w:val="9FD72E73"/>
    <w:rsid w:val="9FF7463A"/>
    <w:rsid w:val="AE5F0017"/>
    <w:rsid w:val="AEBBD700"/>
    <w:rsid w:val="AF7B0C39"/>
    <w:rsid w:val="AFF29A5D"/>
    <w:rsid w:val="AFFDEB09"/>
    <w:rsid w:val="AFFF122A"/>
    <w:rsid w:val="B37FB7F4"/>
    <w:rsid w:val="B3FF4788"/>
    <w:rsid w:val="B4FE8D2A"/>
    <w:rsid w:val="B52F4548"/>
    <w:rsid w:val="B7F5FD1D"/>
    <w:rsid w:val="BAFDEA36"/>
    <w:rsid w:val="BAFFEBA1"/>
    <w:rsid w:val="BB2B166A"/>
    <w:rsid w:val="BBFD7555"/>
    <w:rsid w:val="BD543DC6"/>
    <w:rsid w:val="BDF788C5"/>
    <w:rsid w:val="BF43E0FB"/>
    <w:rsid w:val="BF5DA4FA"/>
    <w:rsid w:val="BF62D3A6"/>
    <w:rsid w:val="BF7B4649"/>
    <w:rsid w:val="BF7E1090"/>
    <w:rsid w:val="BFB7B174"/>
    <w:rsid w:val="BFBFDE8F"/>
    <w:rsid w:val="BFEFE35C"/>
    <w:rsid w:val="BFFB812A"/>
    <w:rsid w:val="C0EF39B1"/>
    <w:rsid w:val="C36BE9DA"/>
    <w:rsid w:val="CD39F387"/>
    <w:rsid w:val="CD95A0C1"/>
    <w:rsid w:val="CEE77A45"/>
    <w:rsid w:val="CEFB2E36"/>
    <w:rsid w:val="CFBF8BD7"/>
    <w:rsid w:val="D2E4E566"/>
    <w:rsid w:val="D33B27AC"/>
    <w:rsid w:val="D34350B5"/>
    <w:rsid w:val="D6DF71E8"/>
    <w:rsid w:val="D6FFBF84"/>
    <w:rsid w:val="D77B6C04"/>
    <w:rsid w:val="D78F6D0A"/>
    <w:rsid w:val="D7FA1184"/>
    <w:rsid w:val="D7FF9196"/>
    <w:rsid w:val="D89F73FC"/>
    <w:rsid w:val="D8D6DB89"/>
    <w:rsid w:val="D9F648E1"/>
    <w:rsid w:val="D9FB3BCB"/>
    <w:rsid w:val="DA7D73D2"/>
    <w:rsid w:val="DB6F4CAB"/>
    <w:rsid w:val="DD936A6F"/>
    <w:rsid w:val="DDB76F78"/>
    <w:rsid w:val="DDF7DC12"/>
    <w:rsid w:val="DDFBFC5F"/>
    <w:rsid w:val="DE7530D0"/>
    <w:rsid w:val="DE7FBD97"/>
    <w:rsid w:val="DEFF2CEF"/>
    <w:rsid w:val="DF6F9789"/>
    <w:rsid w:val="DFBF983A"/>
    <w:rsid w:val="DFEFDF4E"/>
    <w:rsid w:val="DFF74CE6"/>
    <w:rsid w:val="E5BE1529"/>
    <w:rsid w:val="E6C9B78B"/>
    <w:rsid w:val="E6F748E0"/>
    <w:rsid w:val="E73F66A9"/>
    <w:rsid w:val="E7FEE7CD"/>
    <w:rsid w:val="E89F0514"/>
    <w:rsid w:val="E8DF8519"/>
    <w:rsid w:val="ED594966"/>
    <w:rsid w:val="ED7FE521"/>
    <w:rsid w:val="EDBF3EF4"/>
    <w:rsid w:val="EDFCC174"/>
    <w:rsid w:val="EE7F84E1"/>
    <w:rsid w:val="EED190C0"/>
    <w:rsid w:val="EEFFE8C3"/>
    <w:rsid w:val="EF616B5E"/>
    <w:rsid w:val="EF7D849A"/>
    <w:rsid w:val="EFCB269A"/>
    <w:rsid w:val="EFE7B865"/>
    <w:rsid w:val="EFF6DB4F"/>
    <w:rsid w:val="EFFB4F8F"/>
    <w:rsid w:val="F0FDE1D1"/>
    <w:rsid w:val="F2F6A176"/>
    <w:rsid w:val="F3DF7A6A"/>
    <w:rsid w:val="F4C69AC3"/>
    <w:rsid w:val="F4D33DFD"/>
    <w:rsid w:val="F4FEA083"/>
    <w:rsid w:val="F5778B5C"/>
    <w:rsid w:val="F577A20F"/>
    <w:rsid w:val="F6F7C210"/>
    <w:rsid w:val="F75FFE3E"/>
    <w:rsid w:val="F7B14985"/>
    <w:rsid w:val="F7DAC065"/>
    <w:rsid w:val="F7F65B71"/>
    <w:rsid w:val="F7FF2B4C"/>
    <w:rsid w:val="F9F69E98"/>
    <w:rsid w:val="F9F95C15"/>
    <w:rsid w:val="F9FBA875"/>
    <w:rsid w:val="FB3BDCA0"/>
    <w:rsid w:val="FB6F6DF2"/>
    <w:rsid w:val="FB77A136"/>
    <w:rsid w:val="FB7F2785"/>
    <w:rsid w:val="FB7F376D"/>
    <w:rsid w:val="FBCD2EAB"/>
    <w:rsid w:val="FBEF2131"/>
    <w:rsid w:val="FBFBBF5C"/>
    <w:rsid w:val="FBFF1886"/>
    <w:rsid w:val="FD7F759A"/>
    <w:rsid w:val="FDBF5462"/>
    <w:rsid w:val="FDF2A831"/>
    <w:rsid w:val="FE6FFE1C"/>
    <w:rsid w:val="FE79FD37"/>
    <w:rsid w:val="FEDB1177"/>
    <w:rsid w:val="FEF5C91F"/>
    <w:rsid w:val="FF5FFB6D"/>
    <w:rsid w:val="FF6FFDE7"/>
    <w:rsid w:val="FF7A3896"/>
    <w:rsid w:val="FF7E33B2"/>
    <w:rsid w:val="FF7F5741"/>
    <w:rsid w:val="FF9E067F"/>
    <w:rsid w:val="FFB64644"/>
    <w:rsid w:val="FFBA7662"/>
    <w:rsid w:val="FFBF7EF4"/>
    <w:rsid w:val="FFBFD8D7"/>
    <w:rsid w:val="FFDD4FE6"/>
    <w:rsid w:val="FFEF8092"/>
    <w:rsid w:val="FFF97D98"/>
    <w:rsid w:val="FFFC4581"/>
    <w:rsid w:val="FFFD9FCA"/>
    <w:rsid w:val="FFFDF816"/>
    <w:rsid w:val="FFFF45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1"/>
    <w:semiHidden/>
    <w:unhideWhenUsed/>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First Indent 2"/>
    <w:basedOn w:val="6"/>
    <w:unhideWhenUsed/>
    <w:qFormat/>
    <w:uiPriority w:val="99"/>
    <w:pPr>
      <w:ind w:firstLine="420" w:firstLineChars="200"/>
    </w:pPr>
  </w:style>
  <w:style w:type="character" w:styleId="16">
    <w:name w:val="Strong"/>
    <w:basedOn w:val="15"/>
    <w:qFormat/>
    <w:uiPriority w:val="99"/>
    <w:rPr>
      <w:b/>
    </w:rPr>
  </w:style>
  <w:style w:type="character" w:styleId="17">
    <w:name w:val="page number"/>
    <w:basedOn w:val="15"/>
    <w:qFormat/>
    <w:uiPriority w:val="99"/>
    <w:rPr>
      <w:rFonts w:cs="Times New Roman"/>
    </w:rPr>
  </w:style>
  <w:style w:type="character" w:styleId="18">
    <w:name w:val="Hyperlink"/>
    <w:basedOn w:val="15"/>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0">
    <w:name w:val="Header Char"/>
    <w:basedOn w:val="15"/>
    <w:semiHidden/>
    <w:qFormat/>
    <w:uiPriority w:val="99"/>
    <w:rPr>
      <w:rFonts w:ascii="Times New Roman" w:hAnsi="Times New Roman"/>
      <w:sz w:val="18"/>
      <w:szCs w:val="18"/>
    </w:rPr>
  </w:style>
  <w:style w:type="character" w:customStyle="1" w:styleId="21">
    <w:name w:val="页眉 Char"/>
    <w:link w:val="10"/>
    <w:semiHidden/>
    <w:qFormat/>
    <w:locked/>
    <w:uiPriority w:val="99"/>
    <w:rPr>
      <w:sz w:val="18"/>
    </w:rPr>
  </w:style>
  <w:style w:type="character" w:customStyle="1" w:styleId="22">
    <w:name w:val="Footer Char"/>
    <w:basedOn w:val="15"/>
    <w:semiHidden/>
    <w:qFormat/>
    <w:uiPriority w:val="99"/>
    <w:rPr>
      <w:rFonts w:ascii="Times New Roman" w:hAnsi="Times New Roman"/>
      <w:sz w:val="18"/>
      <w:szCs w:val="18"/>
    </w:rPr>
  </w:style>
  <w:style w:type="character" w:customStyle="1" w:styleId="23">
    <w:name w:val="页脚 Char"/>
    <w:link w:val="9"/>
    <w:qFormat/>
    <w:locked/>
    <w:uiPriority w:val="99"/>
    <w:rPr>
      <w:sz w:val="18"/>
    </w:rPr>
  </w:style>
  <w:style w:type="character" w:customStyle="1" w:styleId="24">
    <w:name w:val="Body Text Char"/>
    <w:basedOn w:val="15"/>
    <w:semiHidden/>
    <w:qFormat/>
    <w:uiPriority w:val="99"/>
    <w:rPr>
      <w:rFonts w:ascii="Times New Roman" w:hAnsi="Times New Roman"/>
      <w:szCs w:val="24"/>
    </w:rPr>
  </w:style>
  <w:style w:type="character" w:customStyle="1" w:styleId="25">
    <w:name w:val="正文文本 Char"/>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5"/>
    <w:link w:val="3"/>
    <w:qFormat/>
    <w:uiPriority w:val="9"/>
    <w:rPr>
      <w:rFonts w:ascii="Times New Roman" w:hAnsi="Times New Roman"/>
      <w:b/>
      <w:bCs/>
      <w:kern w:val="44"/>
      <w:sz w:val="44"/>
      <w:szCs w:val="44"/>
    </w:rPr>
  </w:style>
  <w:style w:type="character" w:customStyle="1" w:styleId="29">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5"/>
    <w:link w:val="8"/>
    <w:semiHidden/>
    <w:qFormat/>
    <w:uiPriority w:val="99"/>
    <w:rPr>
      <w:rFonts w:ascii="Times New Roman" w:hAnsi="Times New Roman"/>
      <w:kern w:val="2"/>
      <w:sz w:val="18"/>
      <w:szCs w:val="18"/>
    </w:rPr>
  </w:style>
  <w:style w:type="character" w:customStyle="1" w:styleId="32">
    <w:name w:val="标题 3 Char"/>
    <w:basedOn w:val="15"/>
    <w:link w:val="5"/>
    <w:qFormat/>
    <w:uiPriority w:val="9"/>
    <w:rPr>
      <w:rFonts w:ascii="Times New Roman" w:hAnsi="Times New Roman"/>
      <w:b/>
      <w:bCs/>
      <w:kern w:val="2"/>
      <w:sz w:val="32"/>
      <w:szCs w:val="32"/>
    </w:rPr>
  </w:style>
  <w:style w:type="paragraph" w:customStyle="1" w:styleId="33">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5">
    <w:name w:val="WPSOffice手动目录 1"/>
    <w:qFormat/>
    <w:uiPriority w:val="0"/>
    <w:pPr>
      <w:ind w:leftChars="0"/>
    </w:pPr>
    <w:rPr>
      <w:rFonts w:asciiTheme="minorHAnsi" w:hAnsiTheme="minorHAnsi" w:eastAsiaTheme="minorEastAsia" w:cstheme="minorBidi"/>
      <w:sz w:val="20"/>
      <w:szCs w:val="20"/>
    </w:rPr>
  </w:style>
  <w:style w:type="paragraph" w:customStyle="1" w:styleId="36">
    <w:name w:val="WPSOffice手动目录 2"/>
    <w:qFormat/>
    <w:uiPriority w:val="0"/>
    <w:pPr>
      <w:ind w:leftChars="200"/>
    </w:pPr>
    <w:rPr>
      <w:rFonts w:asciiTheme="minorHAnsi" w:hAnsiTheme="minorHAnsi" w:eastAsiaTheme="minorEastAsia" w:cstheme="minorBidi"/>
      <w:sz w:val="20"/>
      <w:szCs w:val="20"/>
    </w:rPr>
  </w:style>
  <w:style w:type="character" w:customStyle="1" w:styleId="37">
    <w:name w:val="font122"/>
    <w:basedOn w:val="15"/>
    <w:qFormat/>
    <w:uiPriority w:val="0"/>
    <w:rPr>
      <w:rFonts w:hint="eastAsia" w:ascii="宋体" w:hAnsi="宋体" w:eastAsia="宋体" w:cs="宋体"/>
      <w:color w:val="000000"/>
      <w:sz w:val="16"/>
      <w:szCs w:val="16"/>
      <w:u w:val="none"/>
    </w:rPr>
  </w:style>
  <w:style w:type="character" w:customStyle="1" w:styleId="38">
    <w:name w:val="font51"/>
    <w:basedOn w:val="15"/>
    <w:qFormat/>
    <w:uiPriority w:val="0"/>
    <w:rPr>
      <w:rFonts w:hint="default" w:ascii="微软雅黑" w:hAnsi="微软雅黑" w:eastAsia="微软雅黑" w:cs="微软雅黑"/>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2022</a:t>
            </a:r>
            <a:r>
              <a:rPr altLang="en-US"/>
              <a:t>年度收、支决算总计变动情况图</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Sheet1!$A$2:$A$5</c:f>
              <c:strCache>
                <c:ptCount val="4"/>
                <c:pt idx="0">
                  <c:v>2021年</c:v>
                </c:pt>
                <c:pt idx="1">
                  <c:v>2022年</c:v>
                </c:pt>
              </c:strCache>
            </c:strRef>
          </c:cat>
          <c:val>
            <c:numRef>
              <c:f>Sheet1!$B$2:$B$5</c:f>
              <c:numCache>
                <c:formatCode>General</c:formatCode>
                <c:ptCount val="4"/>
                <c:pt idx="0">
                  <c:v>381.13</c:v>
                </c:pt>
                <c:pt idx="1">
                  <c:v>378.52</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Sheet1!$A$2:$A$5</c:f>
              <c:strCache>
                <c:ptCount val="4"/>
                <c:pt idx="0">
                  <c:v>2021年</c:v>
                </c:pt>
                <c:pt idx="1">
                  <c:v>2022年</c:v>
                </c:pt>
              </c:strCache>
            </c:strRef>
          </c:cat>
          <c:val>
            <c:numRef>
              <c:f>Sheet1!$C$2:$C$5</c:f>
              <c:numCache>
                <c:formatCode>General</c:formatCode>
                <c:ptCount val="4"/>
                <c:pt idx="0">
                  <c:v>381.13</c:v>
                </c:pt>
                <c:pt idx="1">
                  <c:v>378.52</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2021年</c:v>
                </c:pt>
                <c:pt idx="1">
                  <c:v>2022年</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84315161"/>
        <c:axId val="297305084"/>
      </c:barChart>
      <c:catAx>
        <c:axId val="38431516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7305084"/>
        <c:crosses val="autoZero"/>
        <c:auto val="1"/>
        <c:lblAlgn val="ctr"/>
        <c:lblOffset val="100"/>
        <c:noMultiLvlLbl val="0"/>
      </c:catAx>
      <c:valAx>
        <c:axId val="2973050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4315161"/>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202</a:t>
            </a:r>
            <a:r>
              <a:rPr lang="en-US" altLang="zh-CN"/>
              <a:t>2</a:t>
            </a:r>
            <a:r>
              <a:t>年度</a:t>
            </a:r>
          </a:p>
        </c:rich>
      </c:tx>
      <c:layout/>
      <c:overlay val="0"/>
      <c:spPr>
        <a:noFill/>
        <a:ln>
          <a:noFill/>
        </a:ln>
        <a:effectLst/>
      </c:spPr>
    </c:title>
    <c:autoTitleDeleted val="0"/>
    <c:plotArea>
      <c:layout/>
      <c:pieChart>
        <c:varyColors val="1"/>
        <c:ser>
          <c:idx val="0"/>
          <c:order val="0"/>
          <c:tx>
            <c:strRef>
              <c:f>Sheet1!$B$1</c:f>
              <c:strCache>
                <c:ptCount val="1"/>
                <c:pt idx="0">
                  <c:v>2022年度</c:v>
                </c:pt>
              </c:strCache>
            </c:strRef>
          </c:tx>
          <c:spPr/>
          <c:explosion val="0"/>
          <c:dPt>
            <c:idx val="0"/>
            <c:bubble3D val="0"/>
            <c:spPr>
              <a:solidFill>
                <a:schemeClr val="accent1"/>
              </a:solidFill>
              <a:ln w="19050">
                <a:solidFill>
                  <a:schemeClr val="lt1"/>
                </a:solidFill>
              </a:ln>
              <a:effectLst/>
            </c:spPr>
          </c:dPt>
          <c:dLbls>
            <c:dLbl>
              <c:idx val="0"/>
              <c:layout>
                <c:manualLayout>
                  <c:x val="-0.00690337295371543"/>
                  <c:y val="-0.19327780902157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200"/>
                      <a:t>378.52</a:t>
                    </a:r>
                    <a:endParaRPr sz="1200"/>
                  </a:p>
                </c:rich>
              </c:tx>
              <c:dLblPos val="bestFit"/>
              <c:showLegendKey val="0"/>
              <c:showVal val="1"/>
              <c:showCatName val="0"/>
              <c:showSerName val="0"/>
              <c:showPercent val="0"/>
              <c:showBubbleSize val="0"/>
              <c:extLst>
                <c:ext xmlns:c15="http://schemas.microsoft.com/office/drawing/2012/chart" uri="{CE6537A1-D6FC-4f65-9D91-7224C49458BB}">
                  <c15:layout>
                    <c:manualLayout>
                      <c:w val="0.154411764705882"/>
                      <c:h val="0.166477272727273"/>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收入</c:v>
                </c:pt>
              </c:strCache>
            </c:strRef>
          </c:cat>
          <c:val>
            <c:numRef>
              <c:f>Sheet1!$B$2</c:f>
              <c:numCache>
                <c:formatCode>General</c:formatCode>
                <c:ptCount val="1"/>
                <c:pt idx="0">
                  <c:v>378.52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manualLayout>
          <c:xMode val="edge"/>
          <c:yMode val="edge"/>
          <c:x val="0.359305043006979"/>
          <c:y val="0.0266666666666667"/>
        </c:manualLayout>
      </c:layout>
      <c:overlay val="0"/>
      <c:spPr>
        <a:noFill/>
        <a:ln>
          <a:noFill/>
        </a:ln>
        <a:effectLst/>
      </c:spPr>
    </c:title>
    <c:autoTitleDeleted val="0"/>
    <c:plotArea>
      <c:layout/>
      <c:pieChart>
        <c:varyColors val="1"/>
        <c:ser>
          <c:idx val="0"/>
          <c:order val="0"/>
          <c:tx>
            <c:strRef>
              <c:f>Sheet1!$B$1</c:f>
              <c:strCache>
                <c:ptCount val="1"/>
                <c:pt idx="0">
                  <c:v>基本支出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787955171544811"/>
                  <c:y val="-0.1702821943623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76258125710161"/>
                  <c:y val="0.1354074342459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5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329.01</c:v>
                </c:pt>
                <c:pt idx="1">
                  <c:v>49.51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2022</a:t>
            </a:r>
            <a:r>
              <a:rPr altLang="en-US"/>
              <a:t>年财政拨款收、支决算总计变动情况</a:t>
            </a:r>
            <a:endParaRPr altLang="en-US"/>
          </a:p>
        </c:rich>
      </c:tx>
      <c:layout>
        <c:manualLayout>
          <c:xMode val="edge"/>
          <c:yMode val="edge"/>
          <c:x val="0.154751460688429"/>
          <c:y val="0.0372101449275362"/>
        </c:manualLayout>
      </c:layout>
      <c:overlay val="0"/>
      <c:spPr>
        <a:noFill/>
        <a:ln>
          <a:noFill/>
        </a:ln>
        <a:effectLst/>
      </c:spPr>
    </c:title>
    <c:autoTitleDeleted val="0"/>
    <c:plotArea>
      <c:layout>
        <c:manualLayout>
          <c:layoutTarget val="inner"/>
          <c:xMode val="edge"/>
          <c:yMode val="edge"/>
          <c:x val="0.0706973199542741"/>
          <c:y val="0.206235697940503"/>
          <c:w val="0.910250222278674"/>
          <c:h val="0.563615560640732"/>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Sheet1!$A$2:$A$5</c:f>
              <c:strCache>
                <c:ptCount val="4"/>
                <c:pt idx="0">
                  <c:v>2022年</c:v>
                </c:pt>
                <c:pt idx="1">
                  <c:v>2021年</c:v>
                </c:pt>
              </c:strCache>
            </c:strRef>
          </c:cat>
          <c:val>
            <c:numRef>
              <c:f>Sheet1!$B$2:$B$5</c:f>
              <c:numCache>
                <c:formatCode>General</c:formatCode>
                <c:ptCount val="4"/>
                <c:pt idx="0">
                  <c:v>378.52</c:v>
                </c:pt>
                <c:pt idx="1">
                  <c:v>381.13</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Sheet1!$A$2:$A$5</c:f>
              <c:strCache>
                <c:ptCount val="4"/>
                <c:pt idx="0">
                  <c:v>2022年</c:v>
                </c:pt>
                <c:pt idx="1">
                  <c:v>2021年</c:v>
                </c:pt>
              </c:strCache>
            </c:strRef>
          </c:cat>
          <c:val>
            <c:numRef>
              <c:f>Sheet1!$C$2:$C$5</c:f>
              <c:numCache>
                <c:formatCode>General</c:formatCode>
                <c:ptCount val="4"/>
                <c:pt idx="0">
                  <c:v>381.13</c:v>
                </c:pt>
                <c:pt idx="1">
                  <c:v>378.52</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2022年</c:v>
                </c:pt>
                <c:pt idx="1">
                  <c:v>2021年</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21898112"/>
        <c:axId val="949528820"/>
      </c:barChart>
      <c:catAx>
        <c:axId val="1218981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9528820"/>
        <c:crosses val="autoZero"/>
        <c:auto val="1"/>
        <c:lblAlgn val="ctr"/>
        <c:lblOffset val="100"/>
        <c:noMultiLvlLbl val="0"/>
      </c:catAx>
      <c:valAx>
        <c:axId val="9495288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1898112"/>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2022</a:t>
            </a:r>
            <a:r>
              <a:rPr altLang="en-US"/>
              <a:t>年一般公共预算财政拨款支出决算变动情况</a:t>
            </a:r>
            <a:endParaRPr altLang="en-US"/>
          </a:p>
        </c:rich>
      </c:tx>
      <c:layout/>
      <c:overlay val="0"/>
      <c:spPr>
        <a:noFill/>
        <a:ln>
          <a:noFill/>
        </a:ln>
        <a:effectLst/>
      </c:spPr>
    </c:title>
    <c:autoTitleDeleted val="0"/>
    <c:plotArea>
      <c:layout>
        <c:manualLayout>
          <c:layoutTarget val="inner"/>
          <c:xMode val="edge"/>
          <c:yMode val="edge"/>
          <c:x val="0.116586333985649"/>
          <c:y val="0.23843178622822"/>
          <c:w val="0.875175"/>
          <c:h val="0.643053960964409"/>
        </c:manualLayout>
      </c:layout>
      <c:barChart>
        <c:barDir val="col"/>
        <c:grouping val="clustered"/>
        <c:varyColors val="0"/>
        <c:ser>
          <c:idx val="0"/>
          <c:order val="0"/>
          <c:tx>
            <c:strRef>
              <c:f>Sheet1!$B$1</c:f>
              <c:strCache>
                <c:ptCount val="1"/>
                <c:pt idx="0">
                  <c:v>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2022年</c:v>
                </c:pt>
                <c:pt idx="1">
                  <c:v>2021年</c:v>
                </c:pt>
              </c:strCache>
            </c:strRef>
          </c:cat>
          <c:val>
            <c:numRef>
              <c:f>Sheet1!$B$2:$B$5</c:f>
              <c:numCache>
                <c:formatCode>General</c:formatCode>
                <c:ptCount val="4"/>
                <c:pt idx="0">
                  <c:v>378.52</c:v>
                </c:pt>
                <c:pt idx="1">
                  <c:v>381.13</c:v>
                </c:pt>
              </c:numCache>
            </c:numRef>
          </c:val>
        </c:ser>
        <c:ser>
          <c:idx val="1"/>
          <c:order val="1"/>
          <c:tx>
            <c:strRef>
              <c:f>Sheet1!$C$1</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2022年</c:v>
                </c:pt>
                <c:pt idx="1">
                  <c:v>2021年</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2022年</c:v>
                </c:pt>
                <c:pt idx="1">
                  <c:v>2021年</c:v>
                </c:pt>
              </c:strCache>
            </c:strRef>
          </c:cat>
          <c:val>
            <c:numRef>
              <c:f>Sheet1!$D$2:$D$5</c:f>
              <c:numCache>
                <c:formatCode>General</c:formatCode>
                <c:ptCount val="4"/>
              </c:numCache>
            </c:numRef>
          </c:val>
        </c:ser>
        <c:dLbls>
          <c:showLegendKey val="0"/>
          <c:showVal val="1"/>
          <c:showCatName val="0"/>
          <c:showSerName val="0"/>
          <c:showPercent val="0"/>
          <c:showBubbleSize val="0"/>
        </c:dLbls>
        <c:gapWidth val="219"/>
        <c:overlap val="-27"/>
        <c:axId val="648539026"/>
        <c:axId val="962191189"/>
      </c:barChart>
      <c:catAx>
        <c:axId val="64853902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2191189"/>
        <c:crosses val="autoZero"/>
        <c:auto val="1"/>
        <c:lblAlgn val="ctr"/>
        <c:lblOffset val="100"/>
        <c:noMultiLvlLbl val="0"/>
      </c:catAx>
      <c:valAx>
        <c:axId val="96219118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853902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2022</a:t>
            </a:r>
            <a:r>
              <a:rPr altLang="en-US"/>
              <a:t>年一般公共预算财政拨款支出决算结构</a:t>
            </a:r>
            <a:endParaRPr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09157948907731"/>
                  <c:y val="-0.23843969537507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200"/>
                      <a:t>310.3</a:t>
                    </a:r>
                    <a:endParaRPr sz="1200"/>
                  </a:p>
                </c:rich>
              </c:tx>
              <c:dLblPos val="bestFit"/>
              <c:showLegendKey val="0"/>
              <c:showVal val="1"/>
              <c:showCatName val="0"/>
              <c:showSerName val="0"/>
              <c:showPercent val="0"/>
              <c:showBubbleSize val="0"/>
              <c:extLst>
                <c:ext xmlns:c15="http://schemas.microsoft.com/office/drawing/2012/chart" uri="{CE6537A1-D6FC-4f65-9D91-7224C49458BB}">
                  <c15:layout>
                    <c:manualLayout>
                      <c:w val="0.113816534541336"/>
                      <c:h val="0.158041958041958"/>
                    </c:manualLayout>
                  </c15:layout>
                </c:ext>
              </c:extLst>
            </c:dLbl>
            <c:dLbl>
              <c:idx val="1"/>
              <c:layout>
                <c:manualLayout>
                  <c:x val="-0.0122241670921517"/>
                  <c:y val="0.019655710103458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8783134318838"/>
                  <c:y val="0.0087064293044249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11202938764493"/>
                  <c:y val="-0.0027736737036931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16.78</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一般公共服务支出</c:v>
                </c:pt>
                <c:pt idx="1">
                  <c:v>住房保障支出</c:v>
                </c:pt>
                <c:pt idx="2">
                  <c:v>社会保障和就业支出</c:v>
                </c:pt>
                <c:pt idx="3">
                  <c:v>卫生健康支出</c:v>
                </c:pt>
              </c:strCache>
            </c:strRef>
          </c:cat>
          <c:val>
            <c:numRef>
              <c:f>Sheet1!$B$2:$B$5</c:f>
              <c:numCache>
                <c:formatCode>General</c:formatCode>
                <c:ptCount val="4"/>
                <c:pt idx="0">
                  <c:v>310.3</c:v>
                </c:pt>
                <c:pt idx="1">
                  <c:v>24.65</c:v>
                </c:pt>
                <c:pt idx="2">
                  <c:v>26.79</c:v>
                </c:pt>
                <c:pt idx="3">
                  <c:v>16.78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2022</a:t>
            </a:r>
            <a:r>
              <a:rPr altLang="en-US"/>
              <a:t>年“三公经费财政拨款支出结构”</a:t>
            </a:r>
            <a:endParaRPr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4"/>
              </a:solidFill>
              <a:ln w="19050">
                <a:solidFill>
                  <a:schemeClr val="lt1"/>
                </a:solidFill>
              </a:ln>
              <a:effectLst/>
            </c:spPr>
          </c:dPt>
          <c:dLbls>
            <c:dLbl>
              <c:idx val="2"/>
              <c:layout>
                <c:manualLayout>
                  <c:x val="0.00574950035857134"/>
                  <c:y val="-0.23836985961707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200"/>
                      <a:t>0.</a:t>
                    </a:r>
                    <a:r>
                      <a:rPr lang="en-US" altLang="zh-CN" sz="1200"/>
                      <a:t>81</a:t>
                    </a:r>
                    <a:endParaRPr lang="en-US" altLang="zh-CN" sz="1200"/>
                  </a:p>
                </c:rich>
              </c:tx>
              <c:dLblPos val="bestFit"/>
              <c:showLegendKey val="0"/>
              <c:showVal val="1"/>
              <c:showCatName val="0"/>
              <c:showSerName val="0"/>
              <c:showPercent val="0"/>
              <c:showBubbleSize val="0"/>
              <c:extLst>
                <c:ext xmlns:c15="http://schemas.microsoft.com/office/drawing/2012/chart" uri="{CE6537A1-D6FC-4f65-9D91-7224C49458BB}">
                  <c15:layout>
                    <c:manualLayout>
                      <c:w val="0.0875"/>
                      <c:h val="0.136596617119426"/>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因公出国（境）费支出</c:v>
                </c:pt>
                <c:pt idx="1">
                  <c:v>公务用车购置及运行维护费支出</c:v>
                </c:pt>
                <c:pt idx="2">
                  <c:v>公务接待费支出</c:v>
                </c:pt>
              </c:strCache>
            </c:strRef>
          </c:cat>
          <c:val>
            <c:numRef>
              <c:f>Sheet1!$B$2:$B$5</c:f>
              <c:numCache>
                <c:formatCode>General</c:formatCode>
                <c:ptCount val="4"/>
                <c:pt idx="2">
                  <c:v>0.81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3"/>
        <c:delete val="1"/>
      </c:legendEntry>
      <c:layout>
        <c:manualLayout>
          <c:xMode val="edge"/>
          <c:yMode val="edge"/>
          <c:x val="0.105"/>
          <c:y val="0.924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TotalTime>
  <ScaleCrop>false</ScaleCrop>
  <LinksUpToDate>false</LinksUpToDate>
  <CharactersWithSpaces>8692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2020-08-06T01:49:00Z</dcterms:created>
  <dc:creator>曹颖</dc:creator>
  <cp:lastModifiedBy>Hey</cp:lastModifiedBy>
  <cp:lastPrinted>2023-10-12T16:51:00Z</cp:lastPrinted>
  <dcterms:modified xsi:type="dcterms:W3CDTF">2023-10-23T01:50:51Z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69B6974E590A48B3A164C06A9C550CC7_13</vt:lpwstr>
  </property>
</Properties>
</file>